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38"/>
          <w:szCs w:val="38"/>
        </w:rPr>
      </w:pPr>
      <w:r>
        <w:rPr>
          <w:rFonts w:hint="eastAsia" w:ascii="方正小标宋简体" w:eastAsia="方正小标宋简体"/>
          <w:sz w:val="38"/>
          <w:szCs w:val="38"/>
        </w:rPr>
        <w:t>中共上海市教育卫生工作委员会 上海市教育委员会</w:t>
      </w:r>
    </w:p>
    <w:p>
      <w:pPr>
        <w:spacing w:line="600" w:lineRule="exact"/>
        <w:jc w:val="center"/>
        <w:rPr>
          <w:rFonts w:ascii="方正小标宋简体" w:eastAsia="方正小标宋简体"/>
          <w:sz w:val="38"/>
          <w:szCs w:val="38"/>
        </w:rPr>
      </w:pPr>
      <w:r>
        <w:rPr>
          <w:rFonts w:hint="eastAsia" w:ascii="方正小标宋简体" w:eastAsia="方正小标宋简体"/>
          <w:sz w:val="38"/>
          <w:szCs w:val="38"/>
        </w:rPr>
        <w:t>上海市教育发展基金会</w:t>
      </w:r>
      <w:r>
        <w:rPr>
          <w:rFonts w:hint="eastAsia" w:ascii="方正小标宋简体" w:eastAsia="方正小标宋简体"/>
          <w:sz w:val="38"/>
          <w:szCs w:val="38"/>
          <w:lang w:val="en-US" w:eastAsia="zh-CN"/>
        </w:rPr>
        <w:t xml:space="preserve"> </w:t>
      </w:r>
      <w:r>
        <w:rPr>
          <w:rFonts w:hint="eastAsia" w:ascii="方正小标宋简体" w:eastAsia="方正小标宋简体"/>
          <w:sz w:val="38"/>
          <w:szCs w:val="38"/>
        </w:rPr>
        <w:t>关于公布20</w:t>
      </w:r>
      <w:r>
        <w:rPr>
          <w:rFonts w:hint="eastAsia" w:ascii="方正小标宋简体" w:eastAsia="方正小标宋简体"/>
          <w:sz w:val="38"/>
          <w:szCs w:val="38"/>
          <w:lang w:val="en-US" w:eastAsia="zh-CN"/>
        </w:rPr>
        <w:t>20</w:t>
      </w:r>
      <w:r>
        <w:rPr>
          <w:rFonts w:hint="eastAsia" w:ascii="方正小标宋简体" w:eastAsia="方正小标宋简体"/>
          <w:sz w:val="38"/>
          <w:szCs w:val="38"/>
        </w:rPr>
        <w:t>年度</w:t>
      </w:r>
    </w:p>
    <w:p>
      <w:pPr>
        <w:spacing w:line="600" w:lineRule="exact"/>
        <w:jc w:val="center"/>
        <w:outlineLvl w:val="0"/>
        <w:rPr>
          <w:rFonts w:ascii="方正小标宋简体" w:eastAsia="方正小标宋简体"/>
          <w:sz w:val="38"/>
          <w:szCs w:val="38"/>
        </w:rPr>
      </w:pPr>
      <w:r>
        <w:rPr>
          <w:rFonts w:hint="eastAsia" w:ascii="方正小标宋简体" w:eastAsia="方正小标宋简体"/>
          <w:sz w:val="38"/>
          <w:szCs w:val="38"/>
        </w:rPr>
        <w:t>“阳光计划”项目名单的通知</w:t>
      </w:r>
    </w:p>
    <w:p>
      <w:pPr>
        <w:spacing w:line="600" w:lineRule="exact"/>
        <w:rPr>
          <w:rFonts w:ascii="仿宋_GB2312" w:eastAsia="仿宋_GB2312"/>
          <w:sz w:val="32"/>
        </w:rPr>
      </w:pPr>
    </w:p>
    <w:p>
      <w:pPr>
        <w:spacing w:line="600" w:lineRule="exact"/>
        <w:rPr>
          <w:rFonts w:hint="eastAsia" w:ascii="仿宋_GB2312" w:eastAsia="仿宋_GB2312"/>
          <w:sz w:val="32"/>
          <w:szCs w:val="32"/>
        </w:rPr>
      </w:pPr>
      <w:r>
        <w:rPr>
          <w:rFonts w:hint="eastAsia" w:ascii="仿宋_GB2312" w:eastAsia="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《中共上海市</w:t>
      </w:r>
      <w:r>
        <w:rPr>
          <w:rFonts w:hint="eastAsia" w:ascii="仿宋_GB2312" w:eastAsia="仿宋_GB2312"/>
          <w:sz w:val="32"/>
          <w:szCs w:val="32"/>
        </w:rPr>
        <w:t>教育卫生工作委员会</w:t>
      </w:r>
      <w:r>
        <w:rPr>
          <w:rFonts w:hint="eastAsia" w:ascii="仿宋_GB2312" w:eastAsia="仿宋_GB2312"/>
          <w:sz w:val="32"/>
          <w:szCs w:val="32"/>
          <w:lang w:val="en-US" w:eastAsia="zh-CN"/>
        </w:rPr>
        <w:t xml:space="preserve"> </w:t>
      </w:r>
      <w:r>
        <w:rPr>
          <w:rFonts w:hint="eastAsia" w:ascii="仿宋_GB2312" w:eastAsia="仿宋_GB2312"/>
          <w:sz w:val="32"/>
          <w:szCs w:val="32"/>
        </w:rPr>
        <w:t>上海市教育委员会上海市教育发展基金会关于做好20</w:t>
      </w:r>
      <w:r>
        <w:rPr>
          <w:rFonts w:hint="eastAsia" w:ascii="仿宋_GB2312" w:eastAsia="仿宋_GB2312"/>
          <w:sz w:val="32"/>
          <w:szCs w:val="32"/>
          <w:lang w:val="en-US" w:eastAsia="zh-CN"/>
        </w:rPr>
        <w:t>20</w:t>
      </w:r>
      <w:r>
        <w:rPr>
          <w:rFonts w:hint="eastAsia" w:ascii="仿宋_GB2312" w:eastAsia="仿宋_GB2312"/>
          <w:sz w:val="32"/>
          <w:szCs w:val="32"/>
        </w:rPr>
        <w:t>年度“阳光计划”项目申报工作的通知》（沪教卫党〔20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25</w:t>
      </w:r>
      <w:r>
        <w:rPr>
          <w:rFonts w:hint="eastAsia" w:ascii="仿宋_GB2312" w:eastAsia="仿宋_GB2312"/>
          <w:sz w:val="32"/>
          <w:szCs w:val="32"/>
        </w:rPr>
        <w:t>号），经单位推荐、专家评审、网上公示，市教卫工作党委、市教委、市教育发展基金会审核，共确定</w:t>
      </w:r>
      <w:r>
        <w:rPr>
          <w:rFonts w:hint="eastAsia" w:ascii="仿宋_GB2312" w:eastAsia="仿宋_GB2312"/>
          <w:sz w:val="32"/>
          <w:szCs w:val="32"/>
          <w:lang w:val="en-US" w:eastAsia="zh-CN"/>
        </w:rPr>
        <w:t>55人</w:t>
      </w:r>
      <w:r>
        <w:rPr>
          <w:rFonts w:hint="eastAsia" w:ascii="仿宋_GB2312" w:eastAsia="仿宋_GB2312"/>
          <w:sz w:val="32"/>
          <w:szCs w:val="32"/>
        </w:rPr>
        <w:t>入选</w:t>
      </w:r>
      <w:r>
        <w:rPr>
          <w:rFonts w:hint="eastAsia" w:ascii="仿宋_GB2312" w:eastAsia="仿宋_GB2312"/>
          <w:sz w:val="32"/>
          <w:szCs w:val="32"/>
          <w:lang w:eastAsia="zh-CN"/>
        </w:rPr>
        <w:t>20</w:t>
      </w:r>
      <w:r>
        <w:rPr>
          <w:rFonts w:hint="eastAsia" w:ascii="仿宋_GB2312" w:eastAsia="仿宋_GB2312"/>
          <w:sz w:val="32"/>
          <w:szCs w:val="32"/>
          <w:lang w:val="en-US" w:eastAsia="zh-CN"/>
        </w:rPr>
        <w:t>20</w:t>
      </w:r>
      <w:r>
        <w:rPr>
          <w:rFonts w:hint="eastAsia" w:ascii="仿宋_GB2312" w:eastAsia="仿宋_GB2312"/>
          <w:sz w:val="32"/>
          <w:szCs w:val="32"/>
        </w:rPr>
        <w:t>年度“阳光计划”</w:t>
      </w:r>
      <w:r>
        <w:rPr>
          <w:rFonts w:hint="eastAsia" w:ascii="仿宋_GB2312" w:eastAsia="仿宋_GB2312"/>
          <w:sz w:val="32"/>
          <w:szCs w:val="32"/>
          <w:lang w:eastAsia="zh-CN"/>
        </w:rPr>
        <w:t>项目</w:t>
      </w:r>
      <w:r>
        <w:rPr>
          <w:rFonts w:hint="eastAsia" w:ascii="仿宋_GB2312" w:eastAsia="仿宋_GB2312"/>
          <w:sz w:val="32"/>
          <w:szCs w:val="32"/>
        </w:rPr>
        <w:t>，其中党建工作类</w:t>
      </w:r>
      <w:r>
        <w:rPr>
          <w:rFonts w:hint="eastAsia" w:ascii="仿宋_GB2312" w:eastAsia="仿宋_GB2312"/>
          <w:sz w:val="32"/>
          <w:szCs w:val="32"/>
          <w:lang w:val="en-US" w:eastAsia="zh-CN"/>
        </w:rPr>
        <w:t>15项</w:t>
      </w:r>
      <w:r>
        <w:rPr>
          <w:rFonts w:hint="eastAsia" w:ascii="仿宋_GB2312" w:eastAsia="仿宋_GB2312"/>
          <w:sz w:val="32"/>
          <w:szCs w:val="32"/>
        </w:rPr>
        <w:t>，党风廉政建设类</w:t>
      </w:r>
      <w:r>
        <w:rPr>
          <w:rFonts w:hint="eastAsia" w:ascii="仿宋_GB2312" w:eastAsia="仿宋_GB2312"/>
          <w:sz w:val="32"/>
          <w:szCs w:val="32"/>
          <w:lang w:val="en-US" w:eastAsia="zh-CN"/>
        </w:rPr>
        <w:t>10项，</w:t>
      </w:r>
      <w:r>
        <w:rPr>
          <w:rFonts w:hint="eastAsia" w:ascii="仿宋_GB2312" w:eastAsia="仿宋_GB2312"/>
          <w:sz w:val="32"/>
          <w:szCs w:val="32"/>
        </w:rPr>
        <w:t>宣传思想文化类10</w:t>
      </w:r>
      <w:r>
        <w:rPr>
          <w:rFonts w:hint="eastAsia" w:ascii="仿宋_GB2312" w:eastAsia="仿宋_GB2312"/>
          <w:sz w:val="32"/>
          <w:szCs w:val="32"/>
          <w:lang w:eastAsia="zh-CN"/>
        </w:rPr>
        <w:t>项</w:t>
      </w:r>
      <w:r>
        <w:rPr>
          <w:rFonts w:hint="eastAsia" w:ascii="仿宋_GB2312" w:eastAsia="仿宋_GB2312"/>
          <w:sz w:val="32"/>
          <w:szCs w:val="32"/>
        </w:rPr>
        <w:t>，思想政治理论课类10</w:t>
      </w:r>
      <w:r>
        <w:rPr>
          <w:rFonts w:hint="eastAsia" w:ascii="仿宋_GB2312" w:eastAsia="仿宋_GB2312"/>
          <w:sz w:val="32"/>
          <w:szCs w:val="32"/>
          <w:lang w:eastAsia="zh-CN"/>
        </w:rPr>
        <w:t>项</w:t>
      </w:r>
      <w:r>
        <w:rPr>
          <w:rFonts w:hint="eastAsia" w:ascii="仿宋_GB2312" w:eastAsia="仿宋_GB2312"/>
          <w:sz w:val="32"/>
          <w:szCs w:val="32"/>
        </w:rPr>
        <w:t>，思想政治工作类10</w:t>
      </w:r>
      <w:r>
        <w:rPr>
          <w:rFonts w:hint="eastAsia" w:ascii="仿宋_GB2312" w:eastAsia="仿宋_GB2312"/>
          <w:sz w:val="32"/>
          <w:szCs w:val="32"/>
          <w:lang w:eastAsia="zh-CN"/>
        </w:rPr>
        <w:t>项</w:t>
      </w:r>
      <w:r>
        <w:rPr>
          <w:rFonts w:hint="eastAsia" w:ascii="仿宋_GB2312" w:eastAsia="仿宋_GB2312"/>
          <w:sz w:val="32"/>
          <w:szCs w:val="32"/>
        </w:rPr>
        <w:t>。现将名单予以公布（见附件）。</w:t>
      </w:r>
    </w:p>
    <w:p>
      <w:pPr>
        <w:snapToGrid w:val="0"/>
        <w:spacing w:line="600" w:lineRule="exact"/>
        <w:ind w:firstLine="640"/>
        <w:rPr>
          <w:rFonts w:ascii="仿宋_GB2312" w:hAnsi="Arial" w:eastAsia="仿宋_GB2312" w:cs="Arial"/>
          <w:sz w:val="32"/>
          <w:szCs w:val="32"/>
        </w:rPr>
      </w:pPr>
      <w:r>
        <w:rPr>
          <w:rFonts w:hint="eastAsia" w:ascii="仿宋_GB2312" w:hAnsi="Arial" w:eastAsia="仿宋_GB2312" w:cs="Arial"/>
          <w:sz w:val="32"/>
          <w:szCs w:val="32"/>
        </w:rPr>
        <w:t>本次项目经费</w:t>
      </w:r>
      <w:r>
        <w:rPr>
          <w:rFonts w:hint="eastAsia" w:ascii="仿宋_GB2312" w:hAnsi="Arial" w:eastAsia="仿宋_GB2312" w:cs="Arial"/>
          <w:sz w:val="32"/>
          <w:szCs w:val="32"/>
          <w:lang w:eastAsia="zh-CN"/>
        </w:rPr>
        <w:t>将</w:t>
      </w:r>
      <w:r>
        <w:rPr>
          <w:rFonts w:hint="eastAsia" w:ascii="仿宋_GB2312" w:hAnsi="Arial" w:eastAsia="仿宋_GB2312" w:cs="Arial"/>
          <w:sz w:val="32"/>
          <w:szCs w:val="32"/>
        </w:rPr>
        <w:t>分两次下达，首次下达额度为总经费的三分之二，项目通过验收后再下拨三分之一。经费下达的相关事项由市教育发展基金会办公室另行通知。</w:t>
      </w:r>
    </w:p>
    <w:p>
      <w:pPr>
        <w:snapToGrid w:val="0"/>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希望各单位加强对“阳光计划”项目的管理，</w:t>
      </w:r>
      <w:r>
        <w:rPr>
          <w:rFonts w:hint="eastAsia" w:ascii="仿宋_GB2312" w:hAnsi="Arial" w:eastAsia="仿宋_GB2312" w:cs="Arial"/>
          <w:sz w:val="32"/>
          <w:szCs w:val="32"/>
          <w:lang w:eastAsia="zh-CN"/>
        </w:rPr>
        <w:t>为</w:t>
      </w:r>
      <w:r>
        <w:rPr>
          <w:rFonts w:hint="eastAsia" w:ascii="仿宋_GB2312" w:hAnsi="Arial" w:eastAsia="仿宋_GB2312" w:cs="Arial"/>
          <w:sz w:val="32"/>
          <w:szCs w:val="32"/>
        </w:rPr>
        <w:t>入选者</w:t>
      </w:r>
      <w:r>
        <w:rPr>
          <w:rFonts w:hint="eastAsia" w:ascii="仿宋_GB2312" w:hAnsi="Arial" w:eastAsia="仿宋_GB2312" w:cs="Arial"/>
          <w:sz w:val="32"/>
          <w:szCs w:val="32"/>
          <w:lang w:eastAsia="zh-CN"/>
        </w:rPr>
        <w:t>的研究与</w:t>
      </w:r>
      <w:r>
        <w:rPr>
          <w:rFonts w:hint="eastAsia" w:ascii="仿宋_GB2312" w:hAnsi="Arial" w:eastAsia="仿宋_GB2312" w:cs="Arial"/>
          <w:sz w:val="32"/>
          <w:szCs w:val="32"/>
        </w:rPr>
        <w:t>发展</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eastAsia="zh-CN"/>
        </w:rPr>
        <w:t>积极</w:t>
      </w:r>
      <w:r>
        <w:rPr>
          <w:rFonts w:hint="eastAsia" w:ascii="仿宋_GB2312" w:hAnsi="Arial" w:eastAsia="仿宋_GB2312" w:cs="Arial"/>
          <w:sz w:val="32"/>
          <w:szCs w:val="32"/>
        </w:rPr>
        <w:t>搭建</w:t>
      </w:r>
      <w:r>
        <w:rPr>
          <w:rFonts w:hint="eastAsia" w:ascii="仿宋_GB2312" w:hAnsi="Arial" w:eastAsia="仿宋_GB2312" w:cs="Arial"/>
          <w:sz w:val="32"/>
          <w:szCs w:val="32"/>
        </w:rPr>
        <w:t>平台，</w:t>
      </w:r>
      <w:r>
        <w:rPr>
          <w:rFonts w:hint="eastAsia" w:ascii="仿宋_GB2312" w:hAnsi="Arial" w:eastAsia="仿宋_GB2312" w:cs="Arial"/>
          <w:sz w:val="32"/>
          <w:szCs w:val="32"/>
          <w:lang w:eastAsia="zh-CN"/>
        </w:rPr>
        <w:t>提供</w:t>
      </w:r>
      <w:r>
        <w:rPr>
          <w:rFonts w:hint="eastAsia" w:ascii="仿宋_GB2312" w:hAnsi="Arial" w:eastAsia="仿宋_GB2312" w:cs="Arial"/>
          <w:sz w:val="32"/>
          <w:szCs w:val="32"/>
        </w:rPr>
        <w:t>保障条件，</w:t>
      </w:r>
      <w:r>
        <w:rPr>
          <w:rFonts w:hint="eastAsia" w:ascii="仿宋_GB2312" w:hAnsi="Arial" w:eastAsia="仿宋_GB2312" w:cs="Arial"/>
          <w:sz w:val="32"/>
          <w:szCs w:val="32"/>
          <w:lang w:eastAsia="zh-CN"/>
        </w:rPr>
        <w:t>并</w:t>
      </w:r>
      <w:r>
        <w:rPr>
          <w:rFonts w:hint="eastAsia" w:ascii="仿宋_GB2312" w:hAnsi="Arial" w:eastAsia="仿宋_GB2312" w:cs="Arial"/>
          <w:sz w:val="32"/>
          <w:szCs w:val="32"/>
        </w:rPr>
        <w:t>做好跟踪培养</w:t>
      </w:r>
      <w:r>
        <w:rPr>
          <w:rFonts w:hint="eastAsia" w:ascii="仿宋_GB2312" w:hAnsi="Arial" w:eastAsia="仿宋_GB2312" w:cs="Arial"/>
          <w:sz w:val="32"/>
          <w:szCs w:val="32"/>
          <w:lang w:eastAsia="zh-CN"/>
        </w:rPr>
        <w:t>工作</w:t>
      </w:r>
      <w:r>
        <w:rPr>
          <w:rFonts w:hint="eastAsia" w:ascii="仿宋_GB2312" w:hAnsi="Arial" w:eastAsia="仿宋_GB2312" w:cs="Arial"/>
          <w:sz w:val="32"/>
          <w:szCs w:val="32"/>
        </w:rPr>
        <w:t>，确保项目</w:t>
      </w:r>
      <w:r>
        <w:rPr>
          <w:rFonts w:hint="eastAsia" w:ascii="仿宋_GB2312" w:hAnsi="Arial" w:eastAsia="仿宋_GB2312" w:cs="Arial"/>
          <w:sz w:val="32"/>
          <w:szCs w:val="32"/>
          <w:lang w:eastAsia="zh-CN"/>
        </w:rPr>
        <w:t>研究</w:t>
      </w:r>
      <w:r>
        <w:rPr>
          <w:rFonts w:hint="eastAsia" w:ascii="仿宋_GB2312" w:hAnsi="Arial" w:eastAsia="仿宋_GB2312" w:cs="Arial"/>
          <w:sz w:val="32"/>
          <w:szCs w:val="32"/>
        </w:rPr>
        <w:t>取得成效。</w:t>
      </w:r>
    </w:p>
    <w:p>
      <w:pPr>
        <w:snapToGrid w:val="0"/>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600" w:lineRule="exact"/>
        <w:ind w:firstLine="640" w:firstLineChars="200"/>
        <w:outlineLvl w:val="0"/>
        <w:rPr>
          <w:rFonts w:ascii="仿宋_GB2312" w:hAnsi="宋体" w:eastAsia="仿宋_GB2312" w:cs="宋体"/>
          <w:sz w:val="32"/>
          <w:szCs w:val="32"/>
        </w:rPr>
      </w:pPr>
      <w:r>
        <w:rPr>
          <w:rFonts w:ascii="仿宋_GB2312" w:eastAsia="仿宋_GB2312"/>
          <w:sz w:val="32"/>
          <w:szCs w:val="32"/>
        </w:rPr>
        <w:t>1.</w:t>
      </w:r>
      <w:r>
        <w:rPr>
          <w:rFonts w:hint="eastAsia" w:ascii="仿宋_GB2312" w:eastAsia="仿宋_GB2312"/>
          <w:sz w:val="32"/>
          <w:szCs w:val="32"/>
          <w:lang w:eastAsia="zh-CN"/>
        </w:rPr>
        <w:t>20</w:t>
      </w:r>
      <w:r>
        <w:rPr>
          <w:rFonts w:hint="eastAsia" w:ascii="仿宋_GB2312" w:eastAsia="仿宋_GB2312"/>
          <w:sz w:val="32"/>
          <w:szCs w:val="32"/>
          <w:lang w:val="en-US" w:eastAsia="zh-CN"/>
        </w:rPr>
        <w:t>20</w:t>
      </w:r>
      <w:r>
        <w:rPr>
          <w:rFonts w:hint="eastAsia" w:ascii="仿宋_GB2312" w:eastAsia="仿宋_GB2312"/>
          <w:sz w:val="32"/>
          <w:szCs w:val="32"/>
        </w:rPr>
        <w:t>年度“阳光计划”（党建工作类）项目名单</w:t>
      </w:r>
    </w:p>
    <w:p>
      <w:pPr>
        <w:spacing w:line="600" w:lineRule="exact"/>
        <w:ind w:left="1795" w:leftChars="305" w:hanging="1155" w:hangingChars="361"/>
        <w:rPr>
          <w:rFonts w:hint="eastAsia"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lang w:eastAsia="zh-CN"/>
        </w:rPr>
        <w:t>20</w:t>
      </w:r>
      <w:r>
        <w:rPr>
          <w:rFonts w:hint="eastAsia" w:ascii="仿宋_GB2312" w:eastAsia="仿宋_GB2312"/>
          <w:sz w:val="32"/>
          <w:szCs w:val="32"/>
          <w:lang w:val="en-US" w:eastAsia="zh-CN"/>
        </w:rPr>
        <w:t>20</w:t>
      </w:r>
      <w:r>
        <w:rPr>
          <w:rFonts w:hint="eastAsia" w:ascii="仿宋_GB2312" w:eastAsia="仿宋_GB2312"/>
          <w:sz w:val="32"/>
          <w:szCs w:val="32"/>
        </w:rPr>
        <w:t>年度“阳光计划”（党风廉政建设类）项目名单</w:t>
      </w:r>
    </w:p>
    <w:p>
      <w:pPr>
        <w:spacing w:line="600" w:lineRule="exact"/>
        <w:ind w:left="1795" w:leftChars="305" w:right="-357" w:rightChars="-170" w:hanging="1155" w:hangingChars="361"/>
        <w:rPr>
          <w:rFonts w:hint="eastAsia"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lang w:eastAsia="zh-CN"/>
        </w:rPr>
        <w:t>20</w:t>
      </w:r>
      <w:r>
        <w:rPr>
          <w:rFonts w:hint="eastAsia" w:ascii="仿宋_GB2312" w:eastAsia="仿宋_GB2312"/>
          <w:sz w:val="32"/>
          <w:szCs w:val="32"/>
          <w:lang w:val="en-US" w:eastAsia="zh-CN"/>
        </w:rPr>
        <w:t>20</w:t>
      </w:r>
      <w:r>
        <w:rPr>
          <w:rFonts w:hint="eastAsia" w:ascii="仿宋_GB2312" w:eastAsia="仿宋_GB2312"/>
          <w:sz w:val="32"/>
          <w:szCs w:val="32"/>
        </w:rPr>
        <w:t>年度“阳光计划”（宣传思想文化工作类）项目名单</w:t>
      </w:r>
    </w:p>
    <w:p>
      <w:pPr>
        <w:spacing w:line="600" w:lineRule="exact"/>
        <w:ind w:right="-393" w:rightChars="-187"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lang w:eastAsia="zh-CN"/>
        </w:rPr>
        <w:t>20</w:t>
      </w:r>
      <w:r>
        <w:rPr>
          <w:rFonts w:hint="eastAsia" w:ascii="仿宋_GB2312" w:eastAsia="仿宋_GB2312"/>
          <w:sz w:val="32"/>
          <w:szCs w:val="32"/>
          <w:lang w:val="en-US" w:eastAsia="zh-CN"/>
        </w:rPr>
        <w:t>20</w:t>
      </w:r>
      <w:r>
        <w:rPr>
          <w:rFonts w:hint="eastAsia" w:ascii="仿宋_GB2312" w:eastAsia="仿宋_GB2312"/>
          <w:sz w:val="32"/>
          <w:szCs w:val="32"/>
        </w:rPr>
        <w:t>年度“阳光计划”（思想政治理论课类）项目名单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20</w:t>
      </w:r>
      <w:r>
        <w:rPr>
          <w:rFonts w:hint="eastAsia" w:ascii="仿宋_GB2312" w:eastAsia="仿宋_GB2312"/>
          <w:sz w:val="32"/>
          <w:szCs w:val="32"/>
          <w:lang w:val="en-US" w:eastAsia="zh-CN"/>
        </w:rPr>
        <w:t>20</w:t>
      </w:r>
      <w:r>
        <w:rPr>
          <w:rFonts w:hint="eastAsia" w:ascii="仿宋_GB2312" w:eastAsia="仿宋_GB2312"/>
          <w:sz w:val="32"/>
          <w:szCs w:val="32"/>
        </w:rPr>
        <w:t>年度“阳光计划”（思想政治工作类）项目名单</w:t>
      </w:r>
    </w:p>
    <w:p>
      <w:pPr>
        <w:spacing w:line="480" w:lineRule="exact"/>
        <w:jc w:val="center"/>
        <w:rPr>
          <w:rFonts w:ascii="方正小标宋简体" w:eastAsia="方正小标宋简体"/>
          <w:sz w:val="38"/>
          <w:szCs w:val="38"/>
        </w:rPr>
      </w:pPr>
    </w:p>
    <w:tbl>
      <w:tblPr>
        <w:tblStyle w:val="8"/>
        <w:tblW w:w="8716" w:type="dxa"/>
        <w:jc w:val="center"/>
        <w:tblInd w:w="0" w:type="dxa"/>
        <w:tblLayout w:type="fixed"/>
        <w:tblCellMar>
          <w:top w:w="0" w:type="dxa"/>
          <w:left w:w="108" w:type="dxa"/>
          <w:bottom w:w="0" w:type="dxa"/>
          <w:right w:w="108" w:type="dxa"/>
        </w:tblCellMar>
      </w:tblPr>
      <w:tblGrid>
        <w:gridCol w:w="2905"/>
        <w:gridCol w:w="2905"/>
        <w:gridCol w:w="2906"/>
      </w:tblGrid>
      <w:tr>
        <w:tblPrEx>
          <w:tblLayout w:type="fixed"/>
          <w:tblCellMar>
            <w:top w:w="0" w:type="dxa"/>
            <w:left w:w="108" w:type="dxa"/>
            <w:bottom w:w="0" w:type="dxa"/>
            <w:right w:w="108" w:type="dxa"/>
          </w:tblCellMar>
        </w:tblPrEx>
        <w:trPr>
          <w:jc w:val="center"/>
        </w:trPr>
        <w:tc>
          <w:tcPr>
            <w:tcW w:w="2905" w:type="dxa"/>
          </w:tcPr>
          <w:p>
            <w:pPr>
              <w:widowControl/>
              <w:jc w:val="left"/>
              <w:rPr>
                <w:rFonts w:ascii="仿宋_GB2312" w:eastAsia="仿宋_GB2312"/>
                <w:spacing w:val="6"/>
                <w:w w:val="61"/>
                <w:kern w:val="0"/>
                <w:sz w:val="30"/>
                <w:szCs w:val="30"/>
              </w:rPr>
            </w:pPr>
          </w:p>
        </w:tc>
        <w:tc>
          <w:tcPr>
            <w:tcW w:w="2905" w:type="dxa"/>
          </w:tcPr>
          <w:p>
            <w:pPr>
              <w:spacing w:line="560" w:lineRule="exact"/>
              <w:ind w:right="212" w:rightChars="101" w:firstLine="223" w:firstLineChars="62"/>
              <w:jc w:val="distribute"/>
              <w:rPr>
                <w:rFonts w:ascii="仿宋_GB2312" w:eastAsia="仿宋_GB2312"/>
                <w:spacing w:val="30"/>
                <w:kern w:val="0"/>
                <w:sz w:val="30"/>
                <w:szCs w:val="30"/>
              </w:rPr>
            </w:pPr>
          </w:p>
        </w:tc>
        <w:tc>
          <w:tcPr>
            <w:tcW w:w="2906" w:type="dxa"/>
          </w:tcPr>
          <w:p>
            <w:pPr>
              <w:spacing w:line="560" w:lineRule="exact"/>
              <w:ind w:right="212" w:rightChars="101" w:firstLine="117" w:firstLineChars="62"/>
              <w:jc w:val="distribute"/>
              <w:rPr>
                <w:rFonts w:ascii="仿宋_GB2312" w:eastAsia="仿宋_GB2312"/>
                <w:spacing w:val="5"/>
                <w:w w:val="60"/>
                <w:kern w:val="0"/>
                <w:sz w:val="30"/>
                <w:szCs w:val="30"/>
              </w:rPr>
            </w:pPr>
          </w:p>
        </w:tc>
      </w:tr>
      <w:tr>
        <w:tblPrEx>
          <w:tblLayout w:type="fixed"/>
          <w:tblCellMar>
            <w:top w:w="0" w:type="dxa"/>
            <w:left w:w="108" w:type="dxa"/>
            <w:bottom w:w="0" w:type="dxa"/>
            <w:right w:w="108" w:type="dxa"/>
          </w:tblCellMar>
        </w:tblPrEx>
        <w:trPr>
          <w:jc w:val="center"/>
        </w:trPr>
        <w:tc>
          <w:tcPr>
            <w:tcW w:w="2905" w:type="dxa"/>
          </w:tcPr>
          <w:p>
            <w:pPr>
              <w:spacing w:line="560" w:lineRule="exact"/>
              <w:ind w:right="212" w:rightChars="101" w:firstLine="120" w:firstLineChars="62"/>
              <w:jc w:val="distribute"/>
              <w:rPr>
                <w:rFonts w:ascii="仿宋_GB2312" w:eastAsia="仿宋_GB2312"/>
                <w:spacing w:val="6"/>
                <w:w w:val="61"/>
                <w:kern w:val="0"/>
                <w:sz w:val="30"/>
                <w:szCs w:val="30"/>
              </w:rPr>
            </w:pPr>
          </w:p>
        </w:tc>
        <w:tc>
          <w:tcPr>
            <w:tcW w:w="2905" w:type="dxa"/>
          </w:tcPr>
          <w:p>
            <w:pPr>
              <w:spacing w:line="560" w:lineRule="exact"/>
              <w:ind w:right="212" w:rightChars="101" w:firstLine="223" w:firstLineChars="62"/>
              <w:jc w:val="distribute"/>
              <w:rPr>
                <w:rFonts w:ascii="仿宋_GB2312" w:eastAsia="仿宋_GB2312"/>
                <w:spacing w:val="30"/>
                <w:kern w:val="0"/>
                <w:sz w:val="30"/>
                <w:szCs w:val="30"/>
              </w:rPr>
            </w:pPr>
          </w:p>
        </w:tc>
        <w:tc>
          <w:tcPr>
            <w:tcW w:w="2906" w:type="dxa"/>
          </w:tcPr>
          <w:p>
            <w:pPr>
              <w:spacing w:line="560" w:lineRule="exact"/>
              <w:ind w:right="212" w:rightChars="101" w:firstLine="117" w:firstLineChars="62"/>
              <w:jc w:val="distribute"/>
              <w:rPr>
                <w:rFonts w:ascii="仿宋_GB2312" w:eastAsia="仿宋_GB2312"/>
                <w:spacing w:val="5"/>
                <w:w w:val="60"/>
                <w:kern w:val="0"/>
                <w:sz w:val="30"/>
                <w:szCs w:val="30"/>
              </w:rPr>
            </w:pPr>
          </w:p>
        </w:tc>
      </w:tr>
      <w:tr>
        <w:tblPrEx>
          <w:tblLayout w:type="fixed"/>
          <w:tblCellMar>
            <w:top w:w="0" w:type="dxa"/>
            <w:left w:w="108" w:type="dxa"/>
            <w:bottom w:w="0" w:type="dxa"/>
            <w:right w:w="108" w:type="dxa"/>
          </w:tblCellMar>
        </w:tblPrEx>
        <w:trPr>
          <w:jc w:val="center"/>
        </w:trPr>
        <w:tc>
          <w:tcPr>
            <w:tcW w:w="2905" w:type="dxa"/>
          </w:tcPr>
          <w:p>
            <w:pPr>
              <w:spacing w:line="560" w:lineRule="exact"/>
              <w:ind w:right="212" w:rightChars="101" w:firstLine="107" w:firstLineChars="62"/>
              <w:jc w:val="distribute"/>
              <w:rPr>
                <w:rFonts w:ascii="仿宋_GB2312" w:eastAsia="仿宋_GB2312"/>
                <w:sz w:val="30"/>
                <w:szCs w:val="30"/>
              </w:rPr>
            </w:pPr>
            <w:r>
              <w:rPr>
                <w:rFonts w:hint="eastAsia" w:ascii="仿宋_GB2312" w:eastAsia="仿宋_GB2312"/>
                <w:spacing w:val="4"/>
                <w:w w:val="55"/>
                <w:kern w:val="0"/>
                <w:sz w:val="30"/>
                <w:szCs w:val="30"/>
              </w:rPr>
              <w:t>中共上海市教育卫生工作委员</w:t>
            </w:r>
            <w:r>
              <w:rPr>
                <w:rFonts w:hint="eastAsia" w:ascii="仿宋_GB2312" w:eastAsia="仿宋_GB2312"/>
                <w:spacing w:val="-25"/>
                <w:w w:val="55"/>
                <w:kern w:val="0"/>
                <w:sz w:val="30"/>
                <w:szCs w:val="30"/>
              </w:rPr>
              <w:t>会</w:t>
            </w:r>
          </w:p>
        </w:tc>
        <w:tc>
          <w:tcPr>
            <w:tcW w:w="2905" w:type="dxa"/>
          </w:tcPr>
          <w:p>
            <w:pPr>
              <w:spacing w:line="560" w:lineRule="exact"/>
              <w:ind w:right="212" w:rightChars="101" w:firstLine="129" w:firstLineChars="62"/>
              <w:jc w:val="distribute"/>
              <w:rPr>
                <w:rFonts w:ascii="仿宋_GB2312" w:eastAsia="仿宋_GB2312"/>
                <w:sz w:val="30"/>
                <w:szCs w:val="30"/>
              </w:rPr>
            </w:pPr>
            <w:r>
              <w:rPr>
                <w:rFonts w:hint="eastAsia" w:ascii="仿宋_GB2312" w:eastAsia="仿宋_GB2312"/>
                <w:spacing w:val="4"/>
                <w:w w:val="67"/>
                <w:kern w:val="0"/>
                <w:sz w:val="30"/>
                <w:szCs w:val="30"/>
              </w:rPr>
              <w:t>上海市教育委员</w:t>
            </w:r>
            <w:r>
              <w:rPr>
                <w:rFonts w:hint="eastAsia" w:ascii="仿宋_GB2312" w:eastAsia="仿宋_GB2312"/>
                <w:spacing w:val="-26"/>
                <w:w w:val="67"/>
                <w:kern w:val="0"/>
                <w:sz w:val="30"/>
                <w:szCs w:val="30"/>
              </w:rPr>
              <w:t>会</w:t>
            </w:r>
          </w:p>
        </w:tc>
        <w:tc>
          <w:tcPr>
            <w:tcW w:w="2906" w:type="dxa"/>
          </w:tcPr>
          <w:p>
            <w:pPr>
              <w:spacing w:line="560" w:lineRule="exact"/>
              <w:ind w:right="212" w:rightChars="101"/>
              <w:jc w:val="distribute"/>
              <w:rPr>
                <w:rFonts w:ascii="仿宋_GB2312" w:eastAsia="仿宋_GB2312"/>
                <w:sz w:val="30"/>
                <w:szCs w:val="30"/>
              </w:rPr>
            </w:pPr>
            <w:r>
              <w:rPr>
                <w:rFonts w:hint="eastAsia" w:ascii="仿宋_GB2312" w:eastAsia="仿宋_GB2312"/>
                <w:spacing w:val="8"/>
                <w:w w:val="76"/>
                <w:kern w:val="0"/>
                <w:sz w:val="30"/>
                <w:szCs w:val="30"/>
              </w:rPr>
              <w:t>上海市教育发展基金</w:t>
            </w:r>
            <w:r>
              <w:rPr>
                <w:rFonts w:hint="eastAsia" w:ascii="仿宋_GB2312" w:eastAsia="仿宋_GB2312"/>
                <w:spacing w:val="-33"/>
                <w:w w:val="76"/>
                <w:kern w:val="0"/>
                <w:sz w:val="30"/>
                <w:szCs w:val="30"/>
              </w:rPr>
              <w:t>会</w:t>
            </w:r>
          </w:p>
        </w:tc>
      </w:tr>
      <w:tr>
        <w:tblPrEx>
          <w:tblLayout w:type="fixed"/>
          <w:tblCellMar>
            <w:top w:w="0" w:type="dxa"/>
            <w:left w:w="108" w:type="dxa"/>
            <w:bottom w:w="0" w:type="dxa"/>
            <w:right w:w="108" w:type="dxa"/>
          </w:tblCellMar>
        </w:tblPrEx>
        <w:trPr>
          <w:jc w:val="center"/>
        </w:trPr>
        <w:tc>
          <w:tcPr>
            <w:tcW w:w="2905" w:type="dxa"/>
          </w:tcPr>
          <w:p>
            <w:pPr>
              <w:spacing w:line="560" w:lineRule="exact"/>
              <w:ind w:right="212" w:rightChars="101" w:firstLine="120" w:firstLineChars="62"/>
              <w:jc w:val="distribute"/>
              <w:rPr>
                <w:rFonts w:ascii="仿宋_GB2312" w:eastAsia="仿宋_GB2312"/>
                <w:spacing w:val="6"/>
                <w:w w:val="61"/>
                <w:kern w:val="0"/>
                <w:sz w:val="30"/>
                <w:szCs w:val="30"/>
              </w:rPr>
            </w:pPr>
          </w:p>
        </w:tc>
        <w:tc>
          <w:tcPr>
            <w:tcW w:w="2905" w:type="dxa"/>
          </w:tcPr>
          <w:p>
            <w:pPr>
              <w:spacing w:line="560" w:lineRule="exact"/>
              <w:ind w:right="212" w:rightChars="101" w:firstLine="223" w:firstLineChars="62"/>
              <w:jc w:val="distribute"/>
              <w:rPr>
                <w:rFonts w:ascii="仿宋_GB2312" w:eastAsia="仿宋_GB2312"/>
                <w:spacing w:val="30"/>
                <w:kern w:val="0"/>
                <w:sz w:val="30"/>
                <w:szCs w:val="30"/>
              </w:rPr>
            </w:pPr>
          </w:p>
        </w:tc>
        <w:tc>
          <w:tcPr>
            <w:tcW w:w="2906" w:type="dxa"/>
          </w:tcPr>
          <w:p>
            <w:pPr>
              <w:spacing w:line="560" w:lineRule="exact"/>
              <w:ind w:right="212" w:rightChars="101" w:firstLine="191" w:firstLineChars="62"/>
              <w:jc w:val="distribute"/>
              <w:rPr>
                <w:rFonts w:ascii="仿宋_GB2312" w:eastAsia="仿宋_GB2312"/>
                <w:spacing w:val="9"/>
                <w:w w:val="97"/>
                <w:kern w:val="0"/>
                <w:sz w:val="30"/>
                <w:szCs w:val="30"/>
              </w:rPr>
            </w:pPr>
          </w:p>
          <w:p>
            <w:pPr>
              <w:spacing w:line="560" w:lineRule="exact"/>
              <w:ind w:right="212" w:rightChars="101" w:firstLine="191" w:firstLineChars="62"/>
              <w:jc w:val="distribute"/>
              <w:rPr>
                <w:rFonts w:ascii="仿宋_GB2312" w:eastAsia="仿宋_GB2312"/>
                <w:spacing w:val="5"/>
                <w:w w:val="60"/>
                <w:kern w:val="0"/>
                <w:sz w:val="30"/>
                <w:szCs w:val="30"/>
              </w:rPr>
            </w:pPr>
            <w:r>
              <w:rPr>
                <w:rFonts w:hint="eastAsia" w:ascii="仿宋_GB2312" w:eastAsia="仿宋_GB2312"/>
                <w:spacing w:val="9"/>
                <w:w w:val="97"/>
                <w:kern w:val="0"/>
                <w:sz w:val="30"/>
                <w:szCs w:val="30"/>
              </w:rPr>
              <w:t>20</w:t>
            </w:r>
            <w:r>
              <w:rPr>
                <w:rFonts w:hint="eastAsia" w:ascii="仿宋_GB2312" w:eastAsia="仿宋_GB2312"/>
                <w:spacing w:val="9"/>
                <w:w w:val="97"/>
                <w:kern w:val="0"/>
                <w:sz w:val="30"/>
                <w:szCs w:val="30"/>
                <w:lang w:val="en-US" w:eastAsia="zh-CN"/>
              </w:rPr>
              <w:t>21</w:t>
            </w:r>
            <w:r>
              <w:rPr>
                <w:rFonts w:hint="eastAsia" w:ascii="仿宋_GB2312" w:eastAsia="仿宋_GB2312"/>
                <w:spacing w:val="9"/>
                <w:w w:val="97"/>
                <w:kern w:val="0"/>
                <w:sz w:val="30"/>
                <w:szCs w:val="30"/>
              </w:rPr>
              <w:t>年</w:t>
            </w:r>
            <w:r>
              <w:rPr>
                <w:rFonts w:hint="eastAsia" w:ascii="仿宋_GB2312" w:eastAsia="仿宋_GB2312"/>
                <w:spacing w:val="9"/>
                <w:w w:val="97"/>
                <w:kern w:val="0"/>
                <w:sz w:val="30"/>
                <w:szCs w:val="30"/>
                <w:lang w:val="en-US" w:eastAsia="zh-CN"/>
              </w:rPr>
              <w:t>6</w:t>
            </w:r>
            <w:r>
              <w:rPr>
                <w:rFonts w:hint="eastAsia" w:ascii="仿宋_GB2312" w:eastAsia="仿宋_GB2312"/>
                <w:spacing w:val="9"/>
                <w:w w:val="97"/>
                <w:kern w:val="0"/>
                <w:sz w:val="30"/>
                <w:szCs w:val="30"/>
              </w:rPr>
              <w:t>月</w:t>
            </w:r>
            <w:r>
              <w:rPr>
                <w:rFonts w:hint="eastAsia" w:ascii="仿宋_GB2312" w:eastAsia="仿宋_GB2312"/>
                <w:spacing w:val="9"/>
                <w:w w:val="97"/>
                <w:kern w:val="0"/>
                <w:sz w:val="30"/>
                <w:szCs w:val="30"/>
                <w:lang w:val="en-US" w:eastAsia="zh-CN"/>
              </w:rPr>
              <w:t>16</w:t>
            </w:r>
            <w:r>
              <w:rPr>
                <w:rFonts w:hint="eastAsia" w:ascii="仿宋_GB2312" w:eastAsia="仿宋_GB2312"/>
                <w:spacing w:val="-18"/>
                <w:w w:val="97"/>
                <w:kern w:val="0"/>
                <w:sz w:val="30"/>
                <w:szCs w:val="30"/>
              </w:rPr>
              <w:t>日</w:t>
            </w:r>
          </w:p>
        </w:tc>
      </w:tr>
      <w:tr>
        <w:tblPrEx>
          <w:tblLayout w:type="fixed"/>
          <w:tblCellMar>
            <w:top w:w="0" w:type="dxa"/>
            <w:left w:w="108" w:type="dxa"/>
            <w:bottom w:w="0" w:type="dxa"/>
            <w:right w:w="108" w:type="dxa"/>
          </w:tblCellMar>
        </w:tblPrEx>
        <w:trPr>
          <w:jc w:val="center"/>
        </w:trPr>
        <w:tc>
          <w:tcPr>
            <w:tcW w:w="2905" w:type="dxa"/>
          </w:tcPr>
          <w:p>
            <w:pPr>
              <w:spacing w:line="560" w:lineRule="exact"/>
              <w:ind w:right="212" w:rightChars="101" w:firstLine="120" w:firstLineChars="62"/>
              <w:jc w:val="distribute"/>
              <w:rPr>
                <w:rFonts w:ascii="仿宋_GB2312" w:eastAsia="仿宋_GB2312"/>
                <w:spacing w:val="6"/>
                <w:w w:val="61"/>
                <w:kern w:val="0"/>
                <w:sz w:val="30"/>
                <w:szCs w:val="30"/>
              </w:rPr>
            </w:pPr>
          </w:p>
        </w:tc>
        <w:tc>
          <w:tcPr>
            <w:tcW w:w="2905" w:type="dxa"/>
          </w:tcPr>
          <w:p>
            <w:pPr>
              <w:spacing w:line="560" w:lineRule="exact"/>
              <w:ind w:right="212" w:rightChars="101" w:firstLine="223" w:firstLineChars="62"/>
              <w:jc w:val="distribute"/>
              <w:rPr>
                <w:rFonts w:ascii="仿宋_GB2312" w:eastAsia="仿宋_GB2312"/>
                <w:spacing w:val="30"/>
                <w:kern w:val="0"/>
                <w:sz w:val="30"/>
                <w:szCs w:val="30"/>
              </w:rPr>
            </w:pPr>
          </w:p>
        </w:tc>
        <w:tc>
          <w:tcPr>
            <w:tcW w:w="2906" w:type="dxa"/>
          </w:tcPr>
          <w:p>
            <w:pPr>
              <w:spacing w:line="560" w:lineRule="exact"/>
              <w:ind w:right="212" w:rightChars="101" w:firstLine="117" w:firstLineChars="62"/>
              <w:jc w:val="distribute"/>
              <w:rPr>
                <w:rFonts w:ascii="仿宋_GB2312" w:eastAsia="仿宋_GB2312"/>
                <w:spacing w:val="5"/>
                <w:w w:val="60"/>
                <w:kern w:val="0"/>
                <w:sz w:val="30"/>
                <w:szCs w:val="30"/>
              </w:rPr>
            </w:pPr>
          </w:p>
        </w:tc>
      </w:tr>
    </w:tbl>
    <w:p>
      <w:pPr>
        <w:spacing w:line="20" w:lineRule="exact"/>
      </w:pPr>
    </w:p>
    <w:p>
      <w:pPr>
        <w:spacing w:line="560" w:lineRule="exact"/>
        <w:rPr>
          <w:rFonts w:ascii="仿宋_GB2312" w:eastAsia="仿宋_GB2312"/>
          <w:sz w:val="32"/>
        </w:rPr>
        <w:sectPr>
          <w:footerReference r:id="rId3" w:type="default"/>
          <w:footerReference r:id="rId4" w:type="even"/>
          <w:pgSz w:w="11906" w:h="16838"/>
          <w:pgMar w:top="2098" w:right="1508" w:bottom="2098" w:left="1520" w:header="851" w:footer="1814" w:gutter="57"/>
          <w:pgBorders>
            <w:top w:val="none" w:color="auto" w:sz="0" w:space="0"/>
            <w:left w:val="none" w:color="auto" w:sz="0" w:space="0"/>
            <w:bottom w:val="none" w:color="auto" w:sz="0" w:space="0"/>
            <w:right w:val="none" w:color="auto" w:sz="0" w:space="0"/>
          </w:pgBorders>
          <w:cols w:space="425" w:num="1"/>
          <w:docGrid w:type="lines" w:linePitch="312" w:charSpace="0"/>
        </w:sectPr>
      </w:pPr>
    </w:p>
    <w:p>
      <w:pPr>
        <w:spacing w:line="560" w:lineRule="exact"/>
        <w:rPr>
          <w:rFonts w:ascii="黑体" w:eastAsia="黑体"/>
          <w:sz w:val="32"/>
        </w:rPr>
      </w:pPr>
      <w:r>
        <w:rPr>
          <w:rFonts w:hint="eastAsia" w:ascii="黑体" w:eastAsia="黑体"/>
          <w:sz w:val="32"/>
        </w:rPr>
        <w:t>附件1</w:t>
      </w:r>
    </w:p>
    <w:p>
      <w:pPr>
        <w:keepNext w:val="0"/>
        <w:keepLines w:val="0"/>
        <w:pageBreakBefore w:val="0"/>
        <w:widowControl w:val="0"/>
        <w:kinsoku/>
        <w:wordWrap/>
        <w:overflowPunct/>
        <w:topLinePunct w:val="0"/>
        <w:autoSpaceDE/>
        <w:autoSpaceDN/>
        <w:bidi w:val="0"/>
        <w:adjustRightInd/>
        <w:snapToGrid/>
        <w:spacing w:after="157" w:afterLines="50" w:line="480" w:lineRule="exact"/>
        <w:jc w:val="center"/>
        <w:textAlignment w:val="auto"/>
        <w:rPr>
          <w:rFonts w:ascii="方正小标宋简体" w:hAnsi="华文中宋" w:eastAsia="方正小标宋简体" w:cs="宋体"/>
          <w:kern w:val="0"/>
          <w:sz w:val="38"/>
          <w:szCs w:val="38"/>
        </w:rPr>
      </w:pPr>
      <w:r>
        <w:rPr>
          <w:rFonts w:hint="eastAsia" w:ascii="方正小标宋简体" w:hAnsi="华文中宋" w:eastAsia="方正小标宋简体" w:cs="宋体"/>
          <w:kern w:val="0"/>
          <w:sz w:val="38"/>
          <w:szCs w:val="38"/>
          <w:lang w:eastAsia="zh-CN"/>
        </w:rPr>
        <w:t>20</w:t>
      </w:r>
      <w:r>
        <w:rPr>
          <w:rFonts w:hint="eastAsia" w:ascii="方正小标宋简体" w:hAnsi="华文中宋" w:eastAsia="方正小标宋简体" w:cs="宋体"/>
          <w:kern w:val="0"/>
          <w:sz w:val="38"/>
          <w:szCs w:val="38"/>
          <w:lang w:val="en-US" w:eastAsia="zh-CN"/>
        </w:rPr>
        <w:t>20</w:t>
      </w:r>
      <w:r>
        <w:rPr>
          <w:rFonts w:hint="eastAsia" w:ascii="方正小标宋简体" w:hAnsi="华文中宋" w:eastAsia="方正小标宋简体" w:cs="宋体"/>
          <w:kern w:val="0"/>
          <w:sz w:val="38"/>
          <w:szCs w:val="38"/>
          <w:lang w:eastAsia="zh-CN"/>
        </w:rPr>
        <w:t>年度“阳光计划”（党建工作类）项目名单</w:t>
      </w:r>
    </w:p>
    <w:tbl>
      <w:tblPr>
        <w:tblStyle w:val="9"/>
        <w:tblpPr w:leftFromText="180" w:rightFromText="180" w:vertAnchor="text" w:horzAnchor="page" w:tblpX="1423" w:tblpY="292"/>
        <w:tblW w:w="14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144"/>
        <w:gridCol w:w="2150"/>
        <w:gridCol w:w="6962"/>
        <w:gridCol w:w="171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1080" w:type="dxa"/>
            <w:tcBorders>
              <w:top w:val="single" w:color="auto" w:sz="12" w:space="0"/>
              <w:left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编  号</w:t>
            </w:r>
          </w:p>
        </w:tc>
        <w:tc>
          <w:tcPr>
            <w:tcW w:w="1144" w:type="dxa"/>
            <w:tcBorders>
              <w:top w:val="single" w:color="auto" w:sz="12" w:space="0"/>
              <w:bottom w:val="single" w:color="auto" w:sz="12" w:space="0"/>
            </w:tcBorders>
            <w:vAlign w:val="center"/>
          </w:tcPr>
          <w:p>
            <w:pPr>
              <w:widowControl/>
              <w:jc w:val="center"/>
              <w:textAlignment w:val="center"/>
              <w:rPr>
                <w:rFonts w:hint="eastAsia"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申请人</w:t>
            </w:r>
          </w:p>
        </w:tc>
        <w:tc>
          <w:tcPr>
            <w:tcW w:w="2150"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单  位</w:t>
            </w:r>
          </w:p>
        </w:tc>
        <w:tc>
          <w:tcPr>
            <w:tcW w:w="6962"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项目名称</w:t>
            </w:r>
          </w:p>
        </w:tc>
        <w:tc>
          <w:tcPr>
            <w:tcW w:w="1713"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完成年月</w:t>
            </w:r>
          </w:p>
        </w:tc>
        <w:tc>
          <w:tcPr>
            <w:tcW w:w="1134" w:type="dxa"/>
            <w:tcBorders>
              <w:top w:val="single" w:color="auto" w:sz="12" w:space="0"/>
              <w:bottom w:val="single" w:color="auto" w:sz="12" w:space="0"/>
              <w:right w:val="single" w:color="auto" w:sz="12"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 xml:space="preserve">经 </w:t>
            </w:r>
            <w:bookmarkStart w:id="0" w:name="_GoBack"/>
            <w:bookmarkEnd w:id="0"/>
            <w:r>
              <w:rPr>
                <w:rFonts w:hint="eastAsia" w:ascii="仿宋_GB2312" w:hAnsi="宋体" w:eastAsia="仿宋_GB2312" w:cs="仿宋_GB2312"/>
                <w:b/>
                <w:color w:val="000000"/>
                <w:kern w:val="0"/>
                <w:sz w:val="24"/>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top w:val="single" w:color="auto" w:sz="12" w:space="0"/>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20YG01</w:t>
            </w:r>
          </w:p>
        </w:tc>
        <w:tc>
          <w:tcPr>
            <w:tcW w:w="1144" w:type="dxa"/>
            <w:tcBorders>
              <w:top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eastAsia="仿宋_GB2312"/>
                <w:color w:val="000000"/>
                <w:sz w:val="24"/>
              </w:rPr>
              <w:t>吴佳莹</w:t>
            </w:r>
          </w:p>
        </w:tc>
        <w:tc>
          <w:tcPr>
            <w:tcW w:w="2150" w:type="dxa"/>
            <w:tcBorders>
              <w:top w:val="single" w:color="auto" w:sz="12" w:space="0"/>
            </w:tcBorders>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上海市肺科医院</w:t>
            </w:r>
          </w:p>
        </w:tc>
        <w:tc>
          <w:tcPr>
            <w:tcW w:w="6962" w:type="dxa"/>
            <w:tcBorders>
              <w:top w:val="single" w:color="auto" w:sz="12" w:space="0"/>
            </w:tcBorders>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新时代公立医院党支部工作评价指标体系研究</w:t>
            </w:r>
          </w:p>
        </w:tc>
        <w:tc>
          <w:tcPr>
            <w:tcW w:w="1713" w:type="dxa"/>
            <w:tcBorders>
              <w:top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top w:val="single" w:color="auto" w:sz="12" w:space="0"/>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20YG02</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张惠虹</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华东师范大学</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大学治理现代化视域下院系党组织治理能力提升研究</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20YG03</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吴映强</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上海交通大学</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协同视角下高校党管人才工作体系构建—以上海双一流建设高校为例</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20YG04</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翟慧娟</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华东理工大学</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“党建+”视域下高校教工党支部作用发挥路径探究</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20YG05</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张</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洁</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上海大学</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“六个下功夫”对高校党务工作者的角色期待与培养路径探究</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20YG06</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尤家恬</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上海师范大学</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大学生党员常态化教育培养研究</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20YG07</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刘</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刚</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上海政法学院</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新时代高校学生党员教育管理服务机制的实践探索与创新研究</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20YG08</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陈</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洁</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复旦大学上海医学院</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长三角妇产科党建共同体基层党支部发挥核心引领作用的路径探析</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20YG09</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杨秋华</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同济大学</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rPr>
              <w:t>基于公文写作能力提升视角的高校院系党务干部培养途径研究</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20YG10</w:t>
            </w:r>
          </w:p>
        </w:tc>
        <w:tc>
          <w:tcPr>
            <w:tcW w:w="1144" w:type="dxa"/>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rPr>
              <w:t>黄一涛</w:t>
            </w:r>
          </w:p>
        </w:tc>
        <w:tc>
          <w:tcPr>
            <w:tcW w:w="2150"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rPr>
              <w:t>上海出版印刷高等专科学校</w:t>
            </w:r>
          </w:p>
        </w:tc>
        <w:tc>
          <w:tcPr>
            <w:tcW w:w="6962" w:type="dxa"/>
            <w:vAlign w:val="center"/>
          </w:tcPr>
          <w:p>
            <w:pPr>
              <w:keepNext w:val="0"/>
              <w:keepLines w:val="0"/>
              <w:widowControl/>
              <w:suppressLineNumbers w:val="0"/>
              <w:jc w:val="left"/>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rPr>
              <w:t>新发展理念视域下高校党员干部推动高质量发展能力建设研究</w:t>
            </w:r>
          </w:p>
        </w:tc>
        <w:tc>
          <w:tcPr>
            <w:tcW w:w="1713" w:type="dxa"/>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lang w:val="en-US" w:eastAsia="zh-CN"/>
              </w:rPr>
              <w:t>20YG11</w:t>
            </w:r>
          </w:p>
        </w:tc>
        <w:tc>
          <w:tcPr>
            <w:tcW w:w="11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color w:val="000000"/>
                <w:kern w:val="0"/>
                <w:sz w:val="24"/>
              </w:rPr>
              <w:t>夏晓娟</w:t>
            </w:r>
          </w:p>
        </w:tc>
        <w:tc>
          <w:tcPr>
            <w:tcW w:w="21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color w:val="000000"/>
                <w:kern w:val="0"/>
                <w:sz w:val="24"/>
              </w:rPr>
              <w:t>长宁区</w:t>
            </w:r>
          </w:p>
        </w:tc>
        <w:tc>
          <w:tcPr>
            <w:tcW w:w="696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color w:val="000000"/>
                <w:kern w:val="0"/>
                <w:sz w:val="24"/>
              </w:rPr>
              <w:t>区校合作背景下大中小党建工作机制创新研究</w:t>
            </w:r>
          </w:p>
        </w:tc>
        <w:tc>
          <w:tcPr>
            <w:tcW w:w="1713" w:type="dxa"/>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lang w:val="en-US" w:eastAsia="zh-CN"/>
              </w:rPr>
              <w:t>20YG12</w:t>
            </w:r>
          </w:p>
        </w:tc>
        <w:tc>
          <w:tcPr>
            <w:tcW w:w="114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徐</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翊</w:t>
            </w:r>
          </w:p>
        </w:tc>
        <w:tc>
          <w:tcPr>
            <w:tcW w:w="215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徐汇区</w:t>
            </w:r>
          </w:p>
        </w:tc>
        <w:tc>
          <w:tcPr>
            <w:tcW w:w="696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新时代背景下构建中学青年党校课程体系实践研究</w:t>
            </w:r>
          </w:p>
        </w:tc>
        <w:tc>
          <w:tcPr>
            <w:tcW w:w="1713" w:type="dxa"/>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left w:val="single" w:color="auto" w:sz="12"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lang w:val="en-US" w:eastAsia="zh-CN"/>
              </w:rPr>
              <w:t>20YG13</w:t>
            </w:r>
          </w:p>
        </w:tc>
        <w:tc>
          <w:tcPr>
            <w:tcW w:w="1144"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张</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怡</w:t>
            </w:r>
          </w:p>
        </w:tc>
        <w:tc>
          <w:tcPr>
            <w:tcW w:w="2150"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黄浦区</w:t>
            </w:r>
          </w:p>
        </w:tc>
        <w:tc>
          <w:tcPr>
            <w:tcW w:w="6962"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融合“两项功能”提升党支部组织力的实践研究——以上海市卢湾中学党支部为例</w:t>
            </w:r>
          </w:p>
        </w:tc>
        <w:tc>
          <w:tcPr>
            <w:tcW w:w="1713" w:type="dxa"/>
            <w:tcBorders>
              <w:bottom w:val="single" w:color="auto" w:sz="4"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2022年12月</w:t>
            </w:r>
          </w:p>
        </w:tc>
        <w:tc>
          <w:tcPr>
            <w:tcW w:w="1134" w:type="dxa"/>
            <w:tcBorders>
              <w:bottom w:val="single" w:color="auto" w:sz="4" w:space="0"/>
              <w:right w:val="single" w:color="auto" w:sz="12"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top w:val="single" w:color="auto" w:sz="4" w:space="0"/>
              <w:left w:val="single" w:color="auto" w:sz="12"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lang w:val="en-US" w:eastAsia="zh-CN"/>
              </w:rPr>
              <w:t>20YG14</w:t>
            </w:r>
          </w:p>
        </w:tc>
        <w:tc>
          <w:tcPr>
            <w:tcW w:w="114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陆颖姝</w:t>
            </w:r>
          </w:p>
        </w:tc>
        <w:tc>
          <w:tcPr>
            <w:tcW w:w="215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浦东新区</w:t>
            </w:r>
          </w:p>
        </w:tc>
        <w:tc>
          <w:tcPr>
            <w:tcW w:w="6962"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加强校园党建文化阵地建设提升党员凝聚力的实践研究</w:t>
            </w:r>
          </w:p>
        </w:tc>
        <w:tc>
          <w:tcPr>
            <w:tcW w:w="1713" w:type="dxa"/>
            <w:tcBorders>
              <w:top w:val="single" w:color="auto" w:sz="4" w:space="0"/>
              <w:bottom w:val="single" w:color="auto" w:sz="4"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2022年12月</w:t>
            </w:r>
          </w:p>
        </w:tc>
        <w:tc>
          <w:tcPr>
            <w:tcW w:w="1134" w:type="dxa"/>
            <w:tcBorders>
              <w:top w:val="single" w:color="auto" w:sz="4" w:space="0"/>
              <w:bottom w:val="single" w:color="auto" w:sz="4" w:space="0"/>
              <w:right w:val="single" w:color="auto" w:sz="12"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tcBorders>
              <w:top w:val="single" w:color="auto" w:sz="4" w:space="0"/>
              <w:left w:val="single" w:color="auto" w:sz="12" w:space="0"/>
              <w:bottom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lang w:val="en-US" w:eastAsia="zh-CN"/>
              </w:rPr>
              <w:t>20YG15</w:t>
            </w:r>
          </w:p>
        </w:tc>
        <w:tc>
          <w:tcPr>
            <w:tcW w:w="1144" w:type="dxa"/>
            <w:tcBorders>
              <w:top w:val="single" w:color="auto" w:sz="4" w:space="0"/>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胡文耕</w:t>
            </w:r>
          </w:p>
        </w:tc>
        <w:tc>
          <w:tcPr>
            <w:tcW w:w="2150" w:type="dxa"/>
            <w:tcBorders>
              <w:top w:val="single" w:color="auto" w:sz="4" w:space="0"/>
              <w:bottom w:val="single" w:color="auto" w:sz="1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嘉定区</w:t>
            </w:r>
          </w:p>
        </w:tc>
        <w:tc>
          <w:tcPr>
            <w:tcW w:w="6962" w:type="dxa"/>
            <w:tcBorders>
              <w:top w:val="single" w:color="auto" w:sz="4" w:space="0"/>
              <w:bottom w:val="single" w:color="auto" w:sz="12"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宋体" w:eastAsia="仿宋_GB2312" w:cs="宋体"/>
                <w:color w:val="000000"/>
                <w:sz w:val="24"/>
              </w:rPr>
              <w:t>党建引领下的新时代初中思政教育机制创新实践研究</w:t>
            </w:r>
          </w:p>
        </w:tc>
        <w:tc>
          <w:tcPr>
            <w:tcW w:w="1713" w:type="dxa"/>
            <w:tcBorders>
              <w:top w:val="single" w:color="auto" w:sz="4" w:space="0"/>
              <w:bottom w:val="single" w:color="auto" w:sz="12"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2022年12月</w:t>
            </w:r>
          </w:p>
        </w:tc>
        <w:tc>
          <w:tcPr>
            <w:tcW w:w="1134" w:type="dxa"/>
            <w:tcBorders>
              <w:top w:val="single" w:color="auto" w:sz="4" w:space="0"/>
              <w:bottom w:val="single" w:color="auto" w:sz="12" w:space="0"/>
              <w:right w:val="single" w:color="auto" w:sz="12" w:space="0"/>
            </w:tcBorders>
            <w:vAlign w:val="center"/>
          </w:tcPr>
          <w:p>
            <w:pPr>
              <w:spacing w:beforeLines="0" w:afterLines="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3万</w:t>
            </w:r>
          </w:p>
        </w:tc>
      </w:tr>
    </w:tbl>
    <w:p>
      <w:pPr>
        <w:rPr>
          <w:rFonts w:hint="eastAsia" w:ascii="黑体" w:eastAsia="黑体"/>
          <w:sz w:val="32"/>
          <w:lang w:val="en-US" w:eastAsia="zh-CN"/>
        </w:rPr>
      </w:pPr>
      <w:r>
        <w:rPr>
          <w:rFonts w:ascii="黑体" w:hAnsi="黑体" w:eastAsia="黑体"/>
          <w:sz w:val="32"/>
          <w:szCs w:val="32"/>
        </w:rPr>
        <w:br w:type="page"/>
      </w:r>
      <w:r>
        <w:rPr>
          <w:rFonts w:hint="eastAsia" w:ascii="黑体" w:eastAsia="黑体"/>
          <w:sz w:val="32"/>
        </w:rPr>
        <w:t>附件</w:t>
      </w:r>
      <w:r>
        <w:rPr>
          <w:rFonts w:hint="eastAsia" w:ascii="黑体" w:eastAsia="黑体"/>
          <w:sz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华文中宋" w:eastAsia="方正小标宋简体" w:cs="宋体"/>
          <w:kern w:val="0"/>
          <w:sz w:val="38"/>
          <w:szCs w:val="38"/>
        </w:rPr>
      </w:pPr>
      <w:r>
        <w:rPr>
          <w:rFonts w:hint="eastAsia" w:ascii="方正小标宋简体" w:hAnsi="华文中宋" w:eastAsia="方正小标宋简体" w:cs="宋体"/>
          <w:kern w:val="0"/>
          <w:sz w:val="38"/>
          <w:szCs w:val="38"/>
          <w:lang w:eastAsia="zh-CN"/>
        </w:rPr>
        <w:t>20</w:t>
      </w:r>
      <w:r>
        <w:rPr>
          <w:rFonts w:hint="eastAsia" w:ascii="方正小标宋简体" w:hAnsi="华文中宋" w:eastAsia="方正小标宋简体" w:cs="宋体"/>
          <w:kern w:val="0"/>
          <w:sz w:val="38"/>
          <w:szCs w:val="38"/>
          <w:lang w:val="en-US" w:eastAsia="zh-CN"/>
        </w:rPr>
        <w:t>20</w:t>
      </w:r>
      <w:r>
        <w:rPr>
          <w:rFonts w:hint="eastAsia" w:ascii="方正小标宋简体" w:hAnsi="华文中宋" w:eastAsia="方正小标宋简体" w:cs="宋体"/>
          <w:kern w:val="0"/>
          <w:sz w:val="38"/>
          <w:szCs w:val="38"/>
        </w:rPr>
        <w:t>年度“阳光计划”（党风廉政建设类）项目名单</w:t>
      </w:r>
    </w:p>
    <w:tbl>
      <w:tblPr>
        <w:tblStyle w:val="9"/>
        <w:tblpPr w:leftFromText="180" w:rightFromText="180" w:vertAnchor="text" w:horzAnchor="page" w:tblpX="1423" w:tblpY="292"/>
        <w:tblW w:w="14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144"/>
        <w:gridCol w:w="2437"/>
        <w:gridCol w:w="6675"/>
        <w:gridCol w:w="171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1080" w:type="dxa"/>
            <w:tcBorders>
              <w:top w:val="single" w:color="auto" w:sz="12" w:space="0"/>
              <w:left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编  号</w:t>
            </w:r>
          </w:p>
        </w:tc>
        <w:tc>
          <w:tcPr>
            <w:tcW w:w="1144" w:type="dxa"/>
            <w:tcBorders>
              <w:top w:val="single" w:color="auto" w:sz="12" w:space="0"/>
              <w:bottom w:val="single" w:color="auto" w:sz="12" w:space="0"/>
            </w:tcBorders>
            <w:vAlign w:val="center"/>
          </w:tcPr>
          <w:p>
            <w:pPr>
              <w:widowControl/>
              <w:jc w:val="center"/>
              <w:textAlignment w:val="center"/>
              <w:rPr>
                <w:rFonts w:hint="eastAsia"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申请人</w:t>
            </w:r>
          </w:p>
        </w:tc>
        <w:tc>
          <w:tcPr>
            <w:tcW w:w="2437"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单  位</w:t>
            </w:r>
          </w:p>
        </w:tc>
        <w:tc>
          <w:tcPr>
            <w:tcW w:w="6675"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项目名称</w:t>
            </w:r>
          </w:p>
        </w:tc>
        <w:tc>
          <w:tcPr>
            <w:tcW w:w="1713"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完成年月</w:t>
            </w:r>
          </w:p>
        </w:tc>
        <w:tc>
          <w:tcPr>
            <w:tcW w:w="1134" w:type="dxa"/>
            <w:tcBorders>
              <w:top w:val="single" w:color="auto" w:sz="12" w:space="0"/>
              <w:bottom w:val="single" w:color="auto" w:sz="12" w:space="0"/>
              <w:right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经 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top w:val="single" w:color="auto" w:sz="12" w:space="0"/>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20YG16</w:t>
            </w:r>
          </w:p>
        </w:tc>
        <w:tc>
          <w:tcPr>
            <w:tcW w:w="1144" w:type="dxa"/>
            <w:tcBorders>
              <w:top w:val="single" w:color="auto" w:sz="12" w:space="0"/>
            </w:tcBorders>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杜朋林</w:t>
            </w:r>
          </w:p>
        </w:tc>
        <w:tc>
          <w:tcPr>
            <w:tcW w:w="2437" w:type="dxa"/>
            <w:tcBorders>
              <w:top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上海交通大学</w:t>
            </w:r>
          </w:p>
        </w:tc>
        <w:tc>
          <w:tcPr>
            <w:tcW w:w="6675" w:type="dxa"/>
            <w:tcBorders>
              <w:top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治理视角下的高校巡察整改机制研究</w:t>
            </w:r>
          </w:p>
        </w:tc>
        <w:tc>
          <w:tcPr>
            <w:tcW w:w="1713" w:type="dxa"/>
            <w:tcBorders>
              <w:top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top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20YG17</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余富团</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华东师范大学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高校院系级纪检监督机制创新研究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20YG18</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柴  华</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华东理工大学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高校一把手腐败：特征、原因及治理路径</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20YG19</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许  杰</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上海海洋大学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全面从严治党视域下的高校监督体系效能提升研究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20YG20</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侯学标</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纪检监察体制改革背景下构建高校监督体系路径研究——以上海大学为例</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20YG21</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郝程光</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上海第二工业大学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高校纪委（监察专员办公室）落实政治监督效能研究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20YG22</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朱成实</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上海电机学院</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高校机关全面从严治党效能提升研究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20YG23</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张  侠</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上海工艺美术职业学院</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高校基层党支部落实全面从严治党“四责协同”机制研究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20YG24</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杜楚源</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复旦大学附属中山医院</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公立医院纪检监督管理体系建设研究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bottom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20YG25</w:t>
            </w:r>
          </w:p>
        </w:tc>
        <w:tc>
          <w:tcPr>
            <w:tcW w:w="1144" w:type="dxa"/>
            <w:tcBorders>
              <w:bottom w:val="single" w:color="auto" w:sz="12" w:space="0"/>
            </w:tcBorders>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吴家春</w:t>
            </w:r>
          </w:p>
        </w:tc>
        <w:tc>
          <w:tcPr>
            <w:tcW w:w="2437" w:type="dxa"/>
            <w:tcBorders>
              <w:bottom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上海市胸科医院</w:t>
            </w:r>
          </w:p>
        </w:tc>
        <w:tc>
          <w:tcPr>
            <w:tcW w:w="6675" w:type="dxa"/>
            <w:tcBorders>
              <w:bottom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新形势下公立医院纪委发挥政治监督作用的探索研究</w:t>
            </w:r>
          </w:p>
        </w:tc>
        <w:tc>
          <w:tcPr>
            <w:tcW w:w="1713" w:type="dxa"/>
            <w:tcBorders>
              <w:bottom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bottom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华文中宋" w:eastAsia="方正小标宋简体" w:cs="宋体"/>
          <w:kern w:val="0"/>
          <w:sz w:val="38"/>
          <w:szCs w:val="3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华文中宋" w:eastAsia="方正小标宋简体" w:cs="宋体"/>
          <w:kern w:val="0"/>
          <w:sz w:val="38"/>
          <w:szCs w:val="38"/>
        </w:rPr>
      </w:pPr>
    </w:p>
    <w:p>
      <w:pPr>
        <w:rPr>
          <w:rFonts w:hint="eastAsia" w:ascii="黑体" w:hAnsi="黑体" w:eastAsia="黑体"/>
          <w:sz w:val="32"/>
          <w:szCs w:val="32"/>
          <w:lang w:val="en-US" w:eastAsia="zh-CN"/>
        </w:rPr>
      </w:pPr>
      <w:r>
        <w:rPr>
          <w:rFonts w:hint="eastAsia" w:ascii="方正小标宋简体" w:hAnsi="华文中宋" w:eastAsia="方正小标宋简体" w:cs="宋体"/>
          <w:kern w:val="0"/>
          <w:sz w:val="38"/>
          <w:szCs w:val="38"/>
          <w:lang w:eastAsia="zh-CN"/>
        </w:rPr>
        <w:br w:type="page"/>
      </w:r>
      <w:r>
        <w:rPr>
          <w:rFonts w:hint="eastAsia" w:ascii="黑体" w:hAnsi="黑体" w:eastAsia="黑体"/>
          <w:sz w:val="32"/>
          <w:szCs w:val="32"/>
        </w:rPr>
        <w:t>附件</w:t>
      </w:r>
      <w:r>
        <w:rPr>
          <w:rFonts w:hint="eastAsia" w:ascii="黑体" w:hAnsi="黑体" w:eastAsia="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方正小标宋简体" w:hAnsi="华文中宋" w:eastAsia="方正小标宋简体" w:cs="宋体"/>
          <w:kern w:val="0"/>
          <w:sz w:val="38"/>
          <w:szCs w:val="38"/>
        </w:rPr>
      </w:pPr>
      <w:r>
        <w:rPr>
          <w:rFonts w:hint="eastAsia" w:ascii="方正小标宋简体" w:hAnsi="华文中宋" w:eastAsia="方正小标宋简体" w:cs="宋体"/>
          <w:kern w:val="0"/>
          <w:sz w:val="38"/>
          <w:szCs w:val="38"/>
          <w:lang w:eastAsia="zh-CN"/>
        </w:rPr>
        <w:t>20</w:t>
      </w:r>
      <w:r>
        <w:rPr>
          <w:rFonts w:hint="eastAsia" w:ascii="方正小标宋简体" w:hAnsi="华文中宋" w:eastAsia="方正小标宋简体" w:cs="宋体"/>
          <w:kern w:val="0"/>
          <w:sz w:val="38"/>
          <w:szCs w:val="38"/>
          <w:lang w:val="en-US" w:eastAsia="zh-CN"/>
        </w:rPr>
        <w:t>20</w:t>
      </w:r>
      <w:r>
        <w:rPr>
          <w:rFonts w:hint="eastAsia" w:ascii="方正小标宋简体" w:hAnsi="华文中宋" w:eastAsia="方正小标宋简体" w:cs="宋体"/>
          <w:kern w:val="0"/>
          <w:sz w:val="38"/>
          <w:szCs w:val="38"/>
        </w:rPr>
        <w:t>年度“阳光计划”（宣传思想文化工作类）项目名单</w:t>
      </w:r>
    </w:p>
    <w:tbl>
      <w:tblPr>
        <w:tblStyle w:val="9"/>
        <w:tblpPr w:leftFromText="180" w:rightFromText="180" w:vertAnchor="text" w:horzAnchor="page" w:tblpX="1423" w:tblpY="292"/>
        <w:tblW w:w="14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144"/>
        <w:gridCol w:w="2437"/>
        <w:gridCol w:w="6675"/>
        <w:gridCol w:w="171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1080" w:type="dxa"/>
            <w:tcBorders>
              <w:top w:val="single" w:color="auto" w:sz="12" w:space="0"/>
              <w:left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编  号</w:t>
            </w:r>
          </w:p>
        </w:tc>
        <w:tc>
          <w:tcPr>
            <w:tcW w:w="1144" w:type="dxa"/>
            <w:tcBorders>
              <w:top w:val="single" w:color="auto" w:sz="12" w:space="0"/>
              <w:bottom w:val="single" w:color="auto" w:sz="12" w:space="0"/>
            </w:tcBorders>
            <w:vAlign w:val="center"/>
          </w:tcPr>
          <w:p>
            <w:pPr>
              <w:widowControl/>
              <w:jc w:val="center"/>
              <w:textAlignment w:val="center"/>
              <w:rPr>
                <w:rFonts w:hint="eastAsia"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申请人</w:t>
            </w:r>
          </w:p>
        </w:tc>
        <w:tc>
          <w:tcPr>
            <w:tcW w:w="2437"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单  位</w:t>
            </w:r>
          </w:p>
        </w:tc>
        <w:tc>
          <w:tcPr>
            <w:tcW w:w="6675"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项目名称</w:t>
            </w:r>
          </w:p>
        </w:tc>
        <w:tc>
          <w:tcPr>
            <w:tcW w:w="1713"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完成年月</w:t>
            </w:r>
          </w:p>
        </w:tc>
        <w:tc>
          <w:tcPr>
            <w:tcW w:w="1134" w:type="dxa"/>
            <w:tcBorders>
              <w:top w:val="single" w:color="auto" w:sz="12" w:space="0"/>
              <w:bottom w:val="single" w:color="auto" w:sz="12" w:space="0"/>
              <w:right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经 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top w:val="single" w:color="auto" w:sz="12" w:space="0"/>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20YG26</w:t>
            </w:r>
          </w:p>
        </w:tc>
        <w:tc>
          <w:tcPr>
            <w:tcW w:w="1144" w:type="dxa"/>
            <w:tcBorders>
              <w:top w:val="single" w:color="auto" w:sz="12" w:space="0"/>
            </w:tcBorders>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洪卫林</w:t>
            </w:r>
          </w:p>
        </w:tc>
        <w:tc>
          <w:tcPr>
            <w:tcW w:w="2437" w:type="dxa"/>
            <w:tcBorders>
              <w:top w:val="single" w:color="auto" w:sz="12" w:space="0"/>
            </w:tcBorders>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上海教育报刊总社</w:t>
            </w:r>
          </w:p>
        </w:tc>
        <w:tc>
          <w:tcPr>
            <w:tcW w:w="6675" w:type="dxa"/>
            <w:tcBorders>
              <w:top w:val="single" w:color="auto" w:sz="12"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仿宋_GB2312" w:hAnsi="宋体" w:eastAsia="仿宋_GB2312" w:cs="宋体"/>
                <w:color w:val="000000"/>
                <w:sz w:val="24"/>
              </w:rPr>
              <w:t>融媒体时代高校“爆款”的创新传播策略研究</w:t>
            </w:r>
          </w:p>
        </w:tc>
        <w:tc>
          <w:tcPr>
            <w:tcW w:w="1713" w:type="dxa"/>
            <w:tcBorders>
              <w:top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top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20YG27</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卢思语</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上海交通大学</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高校教育融媒体建设机制与路径探索</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20YG28</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lang w:eastAsia="zh-CN"/>
              </w:rPr>
              <w:t>夏</w:t>
            </w:r>
            <w:r>
              <w:rPr>
                <w:rFonts w:hint="eastAsia" w:ascii="仿宋_GB2312" w:hAnsi="宋体" w:eastAsia="仿宋_GB2312" w:cs="宋体"/>
                <w:color w:val="000000"/>
                <w:sz w:val="24"/>
                <w:lang w:val="en-US" w:eastAsia="zh-CN"/>
              </w:rPr>
              <w:t xml:space="preserve">  君</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上海第二工业大学</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全媒体时代上海高校红色文化资源育人路径创新研究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20YG29</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肖  阳</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上海音乐学院</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新时代高校校歌文化育人功能的路径研究——以上音校歌育人系列展演活动为例</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20YG30</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王  雁</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上海工程技术大学</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治理现代化视域下提升新时代高校宣传思想工作效能的多维路径研究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20YG31</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赵  铮</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上海电力大学</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百年党史宣传思想工作的发展及其育人路径研究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20YG32</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刘  燕</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复旦大学上海医学院</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医护抗疫叙事对加强医务青年伦理教育的价值与方法研究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20YG33</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焦玉玲</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上海海事大学</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媒体融合语境下增强高校主流意识形态引领力和影响力研究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20YG34</w:t>
            </w:r>
          </w:p>
        </w:tc>
        <w:tc>
          <w:tcPr>
            <w:tcW w:w="1144" w:type="dxa"/>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陈  颖</w:t>
            </w:r>
          </w:p>
        </w:tc>
        <w:tc>
          <w:tcPr>
            <w:tcW w:w="2437"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华东师范大学</w:t>
            </w:r>
          </w:p>
        </w:tc>
        <w:tc>
          <w:tcPr>
            <w:tcW w:w="6675" w:type="dxa"/>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防疫常态化下高校融媒发展现状和趋势研究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bottom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20YG35</w:t>
            </w:r>
          </w:p>
        </w:tc>
        <w:tc>
          <w:tcPr>
            <w:tcW w:w="1144" w:type="dxa"/>
            <w:tcBorders>
              <w:bottom w:val="single" w:color="auto" w:sz="12" w:space="0"/>
            </w:tcBorders>
            <w:vAlign w:val="center"/>
          </w:tcPr>
          <w:p>
            <w:pPr>
              <w:jc w:val="cente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李兆伟</w:t>
            </w:r>
          </w:p>
        </w:tc>
        <w:tc>
          <w:tcPr>
            <w:tcW w:w="2437" w:type="dxa"/>
            <w:tcBorders>
              <w:bottom w:val="single" w:color="auto" w:sz="12" w:space="0"/>
            </w:tcBorders>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上海健康医学院</w:t>
            </w:r>
          </w:p>
        </w:tc>
        <w:tc>
          <w:tcPr>
            <w:tcW w:w="6675" w:type="dxa"/>
            <w:tcBorders>
              <w:bottom w:val="single" w:color="auto" w:sz="12" w:space="0"/>
            </w:tcBorders>
            <w:vAlign w:val="center"/>
          </w:tcPr>
          <w:p>
            <w:pPr>
              <w:rPr>
                <w:rFonts w:hint="eastAsia" w:ascii="仿宋_GB2312" w:hAnsi="宋体" w:eastAsia="仿宋_GB2312" w:cs="宋体"/>
                <w:color w:val="000000"/>
                <w:kern w:val="2"/>
                <w:sz w:val="24"/>
                <w:szCs w:val="24"/>
                <w:lang w:val="en-US" w:eastAsia="zh-CN" w:bidi="ar-SA"/>
              </w:rPr>
            </w:pPr>
            <w:r>
              <w:rPr>
                <w:rFonts w:hint="eastAsia" w:ascii="仿宋_GB2312" w:hAnsi="宋体" w:eastAsia="仿宋_GB2312" w:cs="宋体"/>
                <w:color w:val="000000"/>
                <w:sz w:val="24"/>
              </w:rPr>
              <w:t>新时代高校融媒体中心建设的实践与探索</w:t>
            </w:r>
          </w:p>
        </w:tc>
        <w:tc>
          <w:tcPr>
            <w:tcW w:w="1713" w:type="dxa"/>
            <w:tcBorders>
              <w:bottom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bottom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bl>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方正小标宋简体" w:hAnsi="华文中宋" w:eastAsia="方正小标宋简体" w:cs="宋体"/>
          <w:kern w:val="0"/>
          <w:sz w:val="38"/>
          <w:szCs w:val="38"/>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方正小标宋简体" w:hAnsi="华文中宋" w:eastAsia="方正小标宋简体" w:cs="宋体"/>
          <w:kern w:val="0"/>
          <w:sz w:val="38"/>
          <w:szCs w:val="38"/>
        </w:rPr>
      </w:pPr>
    </w:p>
    <w:p>
      <w:pPr>
        <w:spacing w:line="560" w:lineRule="exact"/>
        <w:rPr>
          <w:rFonts w:hint="eastAsia" w:ascii="黑体" w:eastAsia="黑体"/>
          <w:sz w:val="32"/>
          <w:lang w:val="en-US" w:eastAsia="zh-CN"/>
        </w:rPr>
      </w:pPr>
      <w:r>
        <w:rPr>
          <w:rFonts w:hint="eastAsia" w:ascii="黑体" w:eastAsia="黑体"/>
          <w:sz w:val="32"/>
        </w:rPr>
        <w:t>附件</w:t>
      </w:r>
      <w:r>
        <w:rPr>
          <w:rFonts w:hint="eastAsia" w:ascii="黑体" w:eastAsia="黑体"/>
          <w:sz w:val="32"/>
          <w:lang w:val="en-US" w:eastAsia="zh-CN"/>
        </w:rPr>
        <w:t>4</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方正小标宋简体" w:hAnsi="Arial" w:eastAsia="方正小标宋简体" w:cs="宋体"/>
          <w:kern w:val="0"/>
          <w:sz w:val="38"/>
          <w:szCs w:val="38"/>
        </w:rPr>
      </w:pPr>
      <w:r>
        <w:rPr>
          <w:rFonts w:hint="eastAsia" w:ascii="方正小标宋简体" w:hAnsi="Arial" w:eastAsia="方正小标宋简体" w:cs="宋体"/>
          <w:kern w:val="0"/>
          <w:sz w:val="38"/>
          <w:szCs w:val="38"/>
          <w:lang w:eastAsia="zh-CN"/>
        </w:rPr>
        <w:t>20</w:t>
      </w:r>
      <w:r>
        <w:rPr>
          <w:rFonts w:hint="eastAsia" w:ascii="方正小标宋简体" w:hAnsi="Arial" w:eastAsia="方正小标宋简体" w:cs="宋体"/>
          <w:kern w:val="0"/>
          <w:sz w:val="38"/>
          <w:szCs w:val="38"/>
          <w:lang w:val="en-US" w:eastAsia="zh-CN"/>
        </w:rPr>
        <w:t>20</w:t>
      </w:r>
      <w:r>
        <w:rPr>
          <w:rFonts w:hint="eastAsia" w:ascii="方正小标宋简体" w:hAnsi="Arial" w:eastAsia="方正小标宋简体" w:cs="宋体"/>
          <w:kern w:val="0"/>
          <w:sz w:val="38"/>
          <w:szCs w:val="38"/>
        </w:rPr>
        <w:t>年度“阳光计划”（思想政治理论课类）项目名单</w:t>
      </w:r>
    </w:p>
    <w:tbl>
      <w:tblPr>
        <w:tblStyle w:val="9"/>
        <w:tblpPr w:leftFromText="180" w:rightFromText="180" w:vertAnchor="text" w:horzAnchor="page" w:tblpX="1423" w:tblpY="292"/>
        <w:tblW w:w="14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144"/>
        <w:gridCol w:w="2437"/>
        <w:gridCol w:w="6675"/>
        <w:gridCol w:w="171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1080" w:type="dxa"/>
            <w:tcBorders>
              <w:top w:val="single" w:color="auto" w:sz="12" w:space="0"/>
              <w:left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编  号</w:t>
            </w:r>
          </w:p>
        </w:tc>
        <w:tc>
          <w:tcPr>
            <w:tcW w:w="1144" w:type="dxa"/>
            <w:tcBorders>
              <w:top w:val="single" w:color="auto" w:sz="12" w:space="0"/>
              <w:bottom w:val="single" w:color="auto" w:sz="12" w:space="0"/>
            </w:tcBorders>
            <w:vAlign w:val="center"/>
          </w:tcPr>
          <w:p>
            <w:pPr>
              <w:widowControl/>
              <w:jc w:val="center"/>
              <w:textAlignment w:val="center"/>
              <w:rPr>
                <w:rFonts w:hint="eastAsia"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申请人</w:t>
            </w:r>
          </w:p>
        </w:tc>
        <w:tc>
          <w:tcPr>
            <w:tcW w:w="2437"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单  位</w:t>
            </w:r>
          </w:p>
        </w:tc>
        <w:tc>
          <w:tcPr>
            <w:tcW w:w="6675"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项目名称</w:t>
            </w:r>
          </w:p>
        </w:tc>
        <w:tc>
          <w:tcPr>
            <w:tcW w:w="1713"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完成年月</w:t>
            </w:r>
          </w:p>
        </w:tc>
        <w:tc>
          <w:tcPr>
            <w:tcW w:w="1134" w:type="dxa"/>
            <w:tcBorders>
              <w:top w:val="single" w:color="auto" w:sz="12" w:space="0"/>
              <w:bottom w:val="single" w:color="auto" w:sz="12" w:space="0"/>
              <w:right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经 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top w:val="single" w:color="auto" w:sz="12" w:space="0"/>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20YG36</w:t>
            </w:r>
          </w:p>
        </w:tc>
        <w:tc>
          <w:tcPr>
            <w:tcW w:w="1144" w:type="dxa"/>
            <w:tcBorders>
              <w:top w:val="single" w:color="auto" w:sz="12" w:space="0"/>
            </w:tcBorders>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贺</w:t>
            </w:r>
            <w:r>
              <w:rPr>
                <w:rFonts w:hint="eastAsia" w:ascii="仿宋_GB2312" w:eastAsia="仿宋_GB2312"/>
                <w:color w:val="000000"/>
                <w:sz w:val="24"/>
                <w:lang w:val="en-US" w:eastAsia="zh-CN"/>
              </w:rPr>
              <w:t xml:space="preserve">  </w:t>
            </w:r>
            <w:r>
              <w:rPr>
                <w:rFonts w:hint="eastAsia" w:ascii="仿宋_GB2312" w:eastAsia="仿宋_GB2312"/>
                <w:color w:val="000000"/>
                <w:sz w:val="24"/>
              </w:rPr>
              <w:t>羡</w:t>
            </w:r>
          </w:p>
        </w:tc>
        <w:tc>
          <w:tcPr>
            <w:tcW w:w="2437" w:type="dxa"/>
            <w:tcBorders>
              <w:top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东华大学</w:t>
            </w:r>
          </w:p>
        </w:tc>
        <w:tc>
          <w:tcPr>
            <w:tcW w:w="6675" w:type="dxa"/>
            <w:tcBorders>
              <w:top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21世纪美国马克思主义的发展状况及其当代价值研究</w:t>
            </w:r>
          </w:p>
        </w:tc>
        <w:tc>
          <w:tcPr>
            <w:tcW w:w="1713" w:type="dxa"/>
            <w:tcBorders>
              <w:top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top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20YG37</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宋道雷</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复旦大学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新时代大学生的政治认同及其提升路径研究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20YG38</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徐</w:t>
            </w:r>
            <w:r>
              <w:rPr>
                <w:rFonts w:hint="eastAsia" w:ascii="仿宋_GB2312" w:eastAsia="仿宋_GB2312"/>
                <w:color w:val="000000"/>
                <w:sz w:val="24"/>
                <w:lang w:val="en-US" w:eastAsia="zh-CN"/>
              </w:rPr>
              <w:t xml:space="preserve">  </w:t>
            </w:r>
            <w:r>
              <w:rPr>
                <w:rFonts w:hint="eastAsia" w:ascii="仿宋_GB2312" w:eastAsia="仿宋_GB2312"/>
                <w:color w:val="000000"/>
                <w:sz w:val="24"/>
              </w:rPr>
              <w:t>峰</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华东师范大学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马克思分配正义理论及当代价值研究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20YG39</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赵丽涛</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华东政法大学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新时代增强高校思政课对社会思潮的引领力研究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20YG40</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李梅敬</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上海理工大学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马克思主义视域下的人工智能风险研究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20YG41</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张</w:t>
            </w:r>
            <w:r>
              <w:rPr>
                <w:rFonts w:hint="eastAsia" w:ascii="仿宋_GB2312" w:eastAsia="仿宋_GB2312"/>
                <w:color w:val="000000"/>
                <w:sz w:val="24"/>
                <w:lang w:val="en-US" w:eastAsia="zh-CN"/>
              </w:rPr>
              <w:t xml:space="preserve">  </w:t>
            </w:r>
            <w:r>
              <w:rPr>
                <w:rFonts w:hint="eastAsia" w:ascii="仿宋_GB2312" w:eastAsia="仿宋_GB2312"/>
                <w:color w:val="000000"/>
                <w:sz w:val="24"/>
              </w:rPr>
              <w:t>驰</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华东理工大学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习近平总书记关于高校马克思主义理论教育的重要论述研究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20YG42</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郭力源</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上海师范大学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美好生活视域下青年休闲消费的价值引领研究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20YG43</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刘</w:t>
            </w:r>
            <w:r>
              <w:rPr>
                <w:rFonts w:hint="eastAsia" w:ascii="仿宋_GB2312" w:eastAsia="仿宋_GB2312"/>
                <w:color w:val="000000"/>
                <w:sz w:val="24"/>
                <w:lang w:val="en-US" w:eastAsia="zh-CN"/>
              </w:rPr>
              <w:t xml:space="preserve">  </w:t>
            </w:r>
            <w:r>
              <w:rPr>
                <w:rFonts w:hint="eastAsia" w:ascii="仿宋_GB2312" w:eastAsia="仿宋_GB2312"/>
                <w:color w:val="000000"/>
                <w:sz w:val="24"/>
              </w:rPr>
              <w:t>伟</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上海交通大学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新发展阶段社会主义意识形态建设的战略思路研究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20YG44</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王伯承</w:t>
            </w:r>
          </w:p>
        </w:tc>
        <w:tc>
          <w:tcPr>
            <w:tcW w:w="2437"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上海海事大学</w:t>
            </w:r>
          </w:p>
        </w:tc>
        <w:tc>
          <w:tcPr>
            <w:tcW w:w="6675" w:type="dxa"/>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特大城市“大应急”治理体系建构国际比较与中国制度优势研究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bottom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20YG45</w:t>
            </w:r>
          </w:p>
        </w:tc>
        <w:tc>
          <w:tcPr>
            <w:tcW w:w="1144" w:type="dxa"/>
            <w:tcBorders>
              <w:bottom w:val="single" w:color="auto" w:sz="12" w:space="0"/>
            </w:tcBorders>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张</w:t>
            </w:r>
            <w:r>
              <w:rPr>
                <w:rFonts w:hint="eastAsia" w:ascii="仿宋_GB2312" w:eastAsia="仿宋_GB2312"/>
                <w:color w:val="000000"/>
                <w:sz w:val="24"/>
                <w:lang w:val="en-US" w:eastAsia="zh-CN"/>
              </w:rPr>
              <w:t xml:space="preserve">  </w:t>
            </w:r>
            <w:r>
              <w:rPr>
                <w:rFonts w:hint="eastAsia" w:ascii="仿宋_GB2312" w:eastAsia="仿宋_GB2312"/>
                <w:color w:val="000000"/>
                <w:sz w:val="24"/>
              </w:rPr>
              <w:t>旭</w:t>
            </w:r>
          </w:p>
        </w:tc>
        <w:tc>
          <w:tcPr>
            <w:tcW w:w="2437" w:type="dxa"/>
            <w:tcBorders>
              <w:bottom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上海电机学院</w:t>
            </w:r>
          </w:p>
        </w:tc>
        <w:tc>
          <w:tcPr>
            <w:tcW w:w="6675" w:type="dxa"/>
            <w:tcBorders>
              <w:bottom w:val="single" w:color="auto" w:sz="12" w:space="0"/>
            </w:tcBorders>
            <w:vAlign w:val="center"/>
          </w:tcPr>
          <w:p>
            <w:pPr>
              <w:jc w:val="left"/>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“中国近代史纲要”课引领大学生树立正确党史观实践路径研究</w:t>
            </w:r>
          </w:p>
        </w:tc>
        <w:tc>
          <w:tcPr>
            <w:tcW w:w="1713" w:type="dxa"/>
            <w:tcBorders>
              <w:bottom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bottom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bl>
    <w:p>
      <w:pPr>
        <w:spacing w:line="560" w:lineRule="exact"/>
        <w:rPr>
          <w:rFonts w:hint="eastAsia" w:ascii="黑体" w:eastAsia="黑体"/>
          <w:sz w:val="32"/>
        </w:rPr>
      </w:pPr>
    </w:p>
    <w:p>
      <w:pPr>
        <w:spacing w:line="560" w:lineRule="exact"/>
        <w:rPr>
          <w:rFonts w:hint="eastAsia" w:ascii="黑体" w:eastAsia="黑体"/>
          <w:sz w:val="32"/>
        </w:rPr>
      </w:pPr>
    </w:p>
    <w:p>
      <w:pPr>
        <w:spacing w:line="560" w:lineRule="exact"/>
        <w:rPr>
          <w:rFonts w:ascii="方正小标宋简体" w:hAnsi="华文中宋" w:eastAsia="方正小标宋简体" w:cs="宋体"/>
          <w:kern w:val="0"/>
          <w:sz w:val="38"/>
          <w:szCs w:val="38"/>
        </w:rPr>
      </w:pPr>
      <w:r>
        <w:rPr>
          <w:rFonts w:hint="eastAsia" w:ascii="黑体" w:eastAsia="黑体"/>
          <w:sz w:val="32"/>
        </w:rPr>
        <w:t>附件</w:t>
      </w:r>
      <w:r>
        <w:rPr>
          <w:rFonts w:hint="eastAsia" w:ascii="黑体" w:eastAsia="黑体"/>
          <w:sz w:val="32"/>
          <w:lang w:val="en-US" w:eastAsia="zh-CN"/>
        </w:rPr>
        <w:t>5</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方正小标宋简体" w:hAnsi="华文中宋" w:eastAsia="方正小标宋简体" w:cs="宋体"/>
          <w:kern w:val="0"/>
          <w:sz w:val="38"/>
          <w:szCs w:val="38"/>
        </w:rPr>
      </w:pPr>
      <w:r>
        <w:rPr>
          <w:rFonts w:hint="eastAsia" w:ascii="方正小标宋简体" w:hAnsi="华文中宋" w:eastAsia="方正小标宋简体" w:cs="宋体"/>
          <w:kern w:val="0"/>
          <w:sz w:val="38"/>
          <w:szCs w:val="38"/>
          <w:lang w:eastAsia="zh-CN"/>
        </w:rPr>
        <w:t>20</w:t>
      </w:r>
      <w:r>
        <w:rPr>
          <w:rFonts w:hint="eastAsia" w:ascii="方正小标宋简体" w:hAnsi="华文中宋" w:eastAsia="方正小标宋简体" w:cs="宋体"/>
          <w:kern w:val="0"/>
          <w:sz w:val="38"/>
          <w:szCs w:val="38"/>
          <w:lang w:val="en-US" w:eastAsia="zh-CN"/>
        </w:rPr>
        <w:t>20</w:t>
      </w:r>
      <w:r>
        <w:rPr>
          <w:rFonts w:hint="eastAsia" w:ascii="方正小标宋简体" w:hAnsi="华文中宋" w:eastAsia="方正小标宋简体" w:cs="宋体"/>
          <w:kern w:val="0"/>
          <w:sz w:val="38"/>
          <w:szCs w:val="38"/>
        </w:rPr>
        <w:t>年度“阳光计划”（思想政治工作类）项目名单</w:t>
      </w:r>
    </w:p>
    <w:tbl>
      <w:tblPr>
        <w:tblStyle w:val="9"/>
        <w:tblpPr w:leftFromText="180" w:rightFromText="180" w:vertAnchor="text" w:horzAnchor="page" w:tblpX="1423" w:tblpY="292"/>
        <w:tblW w:w="14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144"/>
        <w:gridCol w:w="2437"/>
        <w:gridCol w:w="6675"/>
        <w:gridCol w:w="171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1080" w:type="dxa"/>
            <w:tcBorders>
              <w:top w:val="single" w:color="auto" w:sz="12" w:space="0"/>
              <w:left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编  号</w:t>
            </w:r>
          </w:p>
        </w:tc>
        <w:tc>
          <w:tcPr>
            <w:tcW w:w="1144" w:type="dxa"/>
            <w:tcBorders>
              <w:top w:val="single" w:color="auto" w:sz="12" w:space="0"/>
              <w:bottom w:val="single" w:color="auto" w:sz="12" w:space="0"/>
            </w:tcBorders>
            <w:vAlign w:val="center"/>
          </w:tcPr>
          <w:p>
            <w:pPr>
              <w:widowControl/>
              <w:jc w:val="center"/>
              <w:textAlignment w:val="center"/>
              <w:rPr>
                <w:rFonts w:hint="eastAsia"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申请人</w:t>
            </w:r>
          </w:p>
        </w:tc>
        <w:tc>
          <w:tcPr>
            <w:tcW w:w="2437"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单  位</w:t>
            </w:r>
          </w:p>
        </w:tc>
        <w:tc>
          <w:tcPr>
            <w:tcW w:w="6675"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项目名称</w:t>
            </w:r>
          </w:p>
        </w:tc>
        <w:tc>
          <w:tcPr>
            <w:tcW w:w="1713" w:type="dxa"/>
            <w:tcBorders>
              <w:top w:val="single" w:color="auto" w:sz="12" w:space="0"/>
              <w:bottom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完成年月</w:t>
            </w:r>
          </w:p>
        </w:tc>
        <w:tc>
          <w:tcPr>
            <w:tcW w:w="1134" w:type="dxa"/>
            <w:tcBorders>
              <w:top w:val="single" w:color="auto" w:sz="12" w:space="0"/>
              <w:bottom w:val="single" w:color="auto" w:sz="12" w:space="0"/>
              <w:right w:val="single" w:color="auto" w:sz="12" w:space="0"/>
            </w:tcBorders>
            <w:vAlign w:val="center"/>
          </w:tcPr>
          <w:p>
            <w:pPr>
              <w:widowControl/>
              <w:jc w:val="center"/>
              <w:textAlignment w:val="center"/>
              <w:rPr>
                <w:rFonts w:ascii="仿宋_GB2312" w:hAnsi="宋体" w:eastAsia="仿宋_GB2312" w:cs="仿宋_GB2312"/>
                <w:b/>
                <w:color w:val="000000"/>
                <w:kern w:val="2"/>
                <w:sz w:val="24"/>
                <w:szCs w:val="24"/>
                <w:lang w:val="en-US" w:eastAsia="zh-CN" w:bidi="ar-SA"/>
              </w:rPr>
            </w:pPr>
            <w:r>
              <w:rPr>
                <w:rFonts w:hint="eastAsia" w:ascii="仿宋_GB2312" w:hAnsi="宋体" w:eastAsia="仿宋_GB2312" w:cs="仿宋_GB2312"/>
                <w:b/>
                <w:color w:val="000000"/>
                <w:kern w:val="0"/>
                <w:sz w:val="24"/>
              </w:rPr>
              <w:t>经 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top w:val="single" w:color="auto" w:sz="12" w:space="0"/>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20YG46</w:t>
            </w:r>
          </w:p>
        </w:tc>
        <w:tc>
          <w:tcPr>
            <w:tcW w:w="1144" w:type="dxa"/>
            <w:tcBorders>
              <w:top w:val="single" w:color="auto" w:sz="12" w:space="0"/>
            </w:tcBorders>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王郦玉</w:t>
            </w:r>
          </w:p>
        </w:tc>
        <w:tc>
          <w:tcPr>
            <w:tcW w:w="2437" w:type="dxa"/>
            <w:tcBorders>
              <w:top w:val="single" w:color="auto" w:sz="12" w:space="0"/>
            </w:tcBorders>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华东师范大学</w:t>
            </w:r>
          </w:p>
        </w:tc>
        <w:tc>
          <w:tcPr>
            <w:tcW w:w="6675" w:type="dxa"/>
            <w:tcBorders>
              <w:top w:val="single" w:color="auto" w:sz="12" w:space="0"/>
            </w:tcBorders>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“三全育人”视角下企业导师协同育人机制研究</w:t>
            </w:r>
          </w:p>
        </w:tc>
        <w:tc>
          <w:tcPr>
            <w:tcW w:w="1713" w:type="dxa"/>
            <w:tcBorders>
              <w:top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top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20YG47</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陈</w:t>
            </w:r>
            <w:r>
              <w:rPr>
                <w:rFonts w:hint="eastAsia" w:ascii="仿宋_GB2312" w:eastAsia="仿宋_GB2312"/>
                <w:color w:val="000000"/>
                <w:sz w:val="24"/>
                <w:lang w:val="en-US" w:eastAsia="zh-CN"/>
              </w:rPr>
              <w:t xml:space="preserve">  </w:t>
            </w:r>
            <w:r>
              <w:rPr>
                <w:rFonts w:hint="eastAsia" w:ascii="仿宋_GB2312" w:eastAsia="仿宋_GB2312"/>
                <w:color w:val="000000"/>
                <w:sz w:val="24"/>
              </w:rPr>
              <w:t>莹</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上海戏剧学院</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以建构积极“自我形象”为目标的德育论坛剧的实践及意义探析</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20YG48</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高晓丽</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上海海洋大学</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新时代高校劳动教育评价的历史逻辑与体系构建</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20YG49</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魏</w:t>
            </w:r>
            <w:r>
              <w:rPr>
                <w:rFonts w:hint="eastAsia" w:ascii="仿宋_GB2312" w:eastAsia="仿宋_GB2312"/>
                <w:color w:val="000000"/>
                <w:sz w:val="24"/>
                <w:lang w:val="en-US" w:eastAsia="zh-CN"/>
              </w:rPr>
              <w:t xml:space="preserve">  </w:t>
            </w:r>
            <w:r>
              <w:rPr>
                <w:rFonts w:hint="eastAsia" w:ascii="仿宋_GB2312" w:eastAsia="仿宋_GB2312"/>
                <w:color w:val="000000"/>
                <w:sz w:val="24"/>
              </w:rPr>
              <w:t>星</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华东理工大学</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“三全育人”视角下高校学生社团治理体系建设的探索与实践</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20YG50</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吕</w:t>
            </w:r>
            <w:r>
              <w:rPr>
                <w:rFonts w:hint="eastAsia" w:ascii="仿宋_GB2312" w:eastAsia="仿宋_GB2312"/>
                <w:color w:val="000000"/>
                <w:sz w:val="24"/>
                <w:lang w:val="en-US" w:eastAsia="zh-CN"/>
              </w:rPr>
              <w:t xml:space="preserve">  </w:t>
            </w:r>
            <w:r>
              <w:rPr>
                <w:rFonts w:hint="eastAsia" w:ascii="仿宋_GB2312" w:eastAsia="仿宋_GB2312"/>
                <w:color w:val="000000"/>
                <w:sz w:val="24"/>
              </w:rPr>
              <w:t>杰</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上海健康医学院</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人工智能技术与学生思想政治教育工作的新融合</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20YG51</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龚</w:t>
            </w:r>
            <w:r>
              <w:rPr>
                <w:rFonts w:hint="eastAsia" w:ascii="仿宋_GB2312" w:eastAsia="仿宋_GB2312"/>
                <w:color w:val="000000"/>
                <w:sz w:val="24"/>
                <w:lang w:val="en-US" w:eastAsia="zh-CN"/>
              </w:rPr>
              <w:t xml:space="preserve">  </w:t>
            </w:r>
            <w:r>
              <w:rPr>
                <w:rFonts w:hint="eastAsia" w:ascii="仿宋_GB2312" w:eastAsia="仿宋_GB2312"/>
                <w:color w:val="000000"/>
                <w:sz w:val="24"/>
              </w:rPr>
              <w:t>强</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上海交通大学</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大学生思想政治教育互联网载体应用现状及路径优化研究——以上海高校为例</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20YG52</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武</w:t>
            </w:r>
            <w:r>
              <w:rPr>
                <w:rFonts w:hint="eastAsia" w:ascii="仿宋_GB2312" w:eastAsia="仿宋_GB2312"/>
                <w:color w:val="000000"/>
                <w:sz w:val="24"/>
                <w:lang w:val="en-US" w:eastAsia="zh-CN"/>
              </w:rPr>
              <w:t xml:space="preserve">  </w:t>
            </w:r>
            <w:r>
              <w:rPr>
                <w:rFonts w:hint="eastAsia" w:ascii="仿宋_GB2312" w:eastAsia="仿宋_GB2312"/>
                <w:color w:val="000000"/>
                <w:sz w:val="24"/>
              </w:rPr>
              <w:t>进</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华东政法大学</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以职业素能提升为主线的大学生实践育人体系建设研究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20YG53</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赵</w:t>
            </w:r>
            <w:r>
              <w:rPr>
                <w:rFonts w:hint="eastAsia" w:ascii="仿宋_GB2312" w:eastAsia="仿宋_GB2312"/>
                <w:color w:val="000000"/>
                <w:sz w:val="24"/>
                <w:lang w:val="en-US" w:eastAsia="zh-CN"/>
              </w:rPr>
              <w:t xml:space="preserve">  </w:t>
            </w:r>
            <w:r>
              <w:rPr>
                <w:rFonts w:hint="eastAsia" w:ascii="仿宋_GB2312" w:eastAsia="仿宋_GB2312"/>
                <w:color w:val="000000"/>
                <w:sz w:val="24"/>
              </w:rPr>
              <w:t>静</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上海对外经贸大学</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治理视域下高校学生社区党组织育人逻辑和路径研究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20YG54</w:t>
            </w:r>
          </w:p>
        </w:tc>
        <w:tc>
          <w:tcPr>
            <w:tcW w:w="1144" w:type="dxa"/>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陈</w:t>
            </w:r>
            <w:r>
              <w:rPr>
                <w:rFonts w:hint="eastAsia" w:ascii="仿宋_GB2312" w:eastAsia="仿宋_GB2312"/>
                <w:color w:val="000000"/>
                <w:sz w:val="24"/>
                <w:lang w:val="en-US" w:eastAsia="zh-CN"/>
              </w:rPr>
              <w:t xml:space="preserve">  </w:t>
            </w:r>
            <w:r>
              <w:rPr>
                <w:rFonts w:hint="eastAsia" w:ascii="仿宋_GB2312" w:eastAsia="仿宋_GB2312"/>
                <w:color w:val="000000"/>
                <w:sz w:val="24"/>
              </w:rPr>
              <w:t>燕</w:t>
            </w:r>
          </w:p>
        </w:tc>
        <w:tc>
          <w:tcPr>
            <w:tcW w:w="2437"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上海师范大学</w:t>
            </w:r>
          </w:p>
        </w:tc>
        <w:tc>
          <w:tcPr>
            <w:tcW w:w="6675" w:type="dxa"/>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大学生劳动教育评价体系研究</w:t>
            </w:r>
          </w:p>
        </w:tc>
        <w:tc>
          <w:tcPr>
            <w:tcW w:w="1713" w:type="dxa"/>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80" w:type="dxa"/>
            <w:tcBorders>
              <w:left w:val="single" w:color="auto" w:sz="12" w:space="0"/>
              <w:bottom w:val="single" w:color="auto" w:sz="12" w:space="0"/>
            </w:tcBorders>
            <w:vAlign w:val="center"/>
          </w:tcPr>
          <w:p>
            <w:pPr>
              <w:keepNext w:val="0"/>
              <w:keepLines w:val="0"/>
              <w:widowControl/>
              <w:suppressLineNumbers w:val="0"/>
              <w:jc w:val="center"/>
              <w:textAlignment w:val="center"/>
              <w:rPr>
                <w:rFonts w:hint="default" w:ascii="仿宋_GB2312" w:hAnsi="宋体" w:eastAsia="仿宋_GB2312" w:cs="仿宋_GB2312"/>
                <w:color w:val="000000"/>
                <w:kern w:val="2"/>
                <w:sz w:val="24"/>
                <w:szCs w:val="24"/>
                <w:lang w:val="en-US" w:eastAsia="zh-CN" w:bidi="ar-SA"/>
              </w:rPr>
            </w:pPr>
            <w:r>
              <w:rPr>
                <w:rFonts w:hint="eastAsia" w:ascii="仿宋_GB2312" w:hAnsi="宋体" w:eastAsia="仿宋_GB2312" w:cs="宋体"/>
                <w:color w:val="000000"/>
                <w:sz w:val="24"/>
                <w:lang w:val="en-US" w:eastAsia="zh-CN"/>
              </w:rPr>
              <w:t>20YG55</w:t>
            </w:r>
          </w:p>
        </w:tc>
        <w:tc>
          <w:tcPr>
            <w:tcW w:w="1144" w:type="dxa"/>
            <w:tcBorders>
              <w:bottom w:val="single" w:color="auto" w:sz="12" w:space="0"/>
            </w:tcBorders>
            <w:vAlign w:val="center"/>
          </w:tcPr>
          <w:p>
            <w:pPr>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陈</w:t>
            </w:r>
            <w:r>
              <w:rPr>
                <w:rFonts w:hint="eastAsia" w:ascii="仿宋_GB2312" w:eastAsia="仿宋_GB2312"/>
                <w:color w:val="000000"/>
                <w:sz w:val="24"/>
                <w:lang w:val="en-US" w:eastAsia="zh-CN"/>
              </w:rPr>
              <w:t xml:space="preserve">  </w:t>
            </w:r>
            <w:r>
              <w:rPr>
                <w:rFonts w:hint="eastAsia" w:ascii="仿宋_GB2312" w:eastAsia="仿宋_GB2312"/>
                <w:color w:val="000000"/>
                <w:sz w:val="24"/>
              </w:rPr>
              <w:t>睿</w:t>
            </w:r>
          </w:p>
        </w:tc>
        <w:tc>
          <w:tcPr>
            <w:tcW w:w="2437" w:type="dxa"/>
            <w:tcBorders>
              <w:bottom w:val="single" w:color="auto" w:sz="12" w:space="0"/>
            </w:tcBorders>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复旦大学</w:t>
            </w:r>
          </w:p>
        </w:tc>
        <w:tc>
          <w:tcPr>
            <w:tcW w:w="6675" w:type="dxa"/>
            <w:tcBorders>
              <w:bottom w:val="single" w:color="auto" w:sz="12" w:space="0"/>
            </w:tcBorders>
            <w:vAlign w:val="center"/>
          </w:tcPr>
          <w:p>
            <w:pPr>
              <w:jc w:val="both"/>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rPr>
              <w:t>“三全育人”背景下辅导员与班主任协同育人机制研究</w:t>
            </w:r>
          </w:p>
        </w:tc>
        <w:tc>
          <w:tcPr>
            <w:tcW w:w="1713" w:type="dxa"/>
            <w:tcBorders>
              <w:bottom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2022年12月</w:t>
            </w:r>
          </w:p>
        </w:tc>
        <w:tc>
          <w:tcPr>
            <w:tcW w:w="1134" w:type="dxa"/>
            <w:tcBorders>
              <w:bottom w:val="single" w:color="auto" w:sz="12" w:space="0"/>
              <w:right w:val="single" w:color="auto" w:sz="12" w:space="0"/>
            </w:tcBorders>
            <w:vAlign w:val="center"/>
          </w:tcPr>
          <w:p>
            <w:pPr>
              <w:spacing w:beforeLines="0" w:afterLines="0"/>
              <w:jc w:val="center"/>
              <w:rPr>
                <w:rFonts w:hint="eastAsia" w:ascii="仿宋_GB2312" w:eastAsia="仿宋_GB2312" w:hAnsiTheme="minorHAnsi" w:cstheme="minorBidi"/>
                <w:color w:val="000000"/>
                <w:kern w:val="2"/>
                <w:sz w:val="24"/>
                <w:szCs w:val="24"/>
                <w:lang w:val="en-US" w:eastAsia="zh-CN" w:bidi="ar-SA"/>
              </w:rPr>
            </w:pPr>
            <w:r>
              <w:rPr>
                <w:rFonts w:hint="eastAsia" w:ascii="仿宋_GB2312" w:eastAsia="仿宋_GB2312"/>
                <w:color w:val="000000"/>
                <w:sz w:val="24"/>
                <w:lang w:val="en-US" w:eastAsia="zh-CN"/>
              </w:rPr>
              <w:t>3万</w:t>
            </w:r>
          </w:p>
        </w:tc>
      </w:tr>
    </w:tbl>
    <w:p>
      <w:pPr/>
    </w:p>
    <w:sectPr>
      <w:pgSz w:w="16838" w:h="11906" w:orient="landscape"/>
      <w:pgMar w:top="1191" w:right="964" w:bottom="964" w:left="964" w:header="851" w:footer="567"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4046"/>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gutterAtTop/>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A3D"/>
    <w:rsid w:val="00047CE4"/>
    <w:rsid w:val="000623F1"/>
    <w:rsid w:val="00083401"/>
    <w:rsid w:val="00127CD0"/>
    <w:rsid w:val="00145C4A"/>
    <w:rsid w:val="001C713F"/>
    <w:rsid w:val="00214170"/>
    <w:rsid w:val="00286FA5"/>
    <w:rsid w:val="00292B72"/>
    <w:rsid w:val="002931C7"/>
    <w:rsid w:val="002A148C"/>
    <w:rsid w:val="003608FB"/>
    <w:rsid w:val="003A1195"/>
    <w:rsid w:val="003B5AC2"/>
    <w:rsid w:val="003C6F4E"/>
    <w:rsid w:val="003F7A7F"/>
    <w:rsid w:val="0040533C"/>
    <w:rsid w:val="004B02E0"/>
    <w:rsid w:val="004B21EE"/>
    <w:rsid w:val="004C2D52"/>
    <w:rsid w:val="00535910"/>
    <w:rsid w:val="005359F0"/>
    <w:rsid w:val="005464E1"/>
    <w:rsid w:val="005C5344"/>
    <w:rsid w:val="005E4CA0"/>
    <w:rsid w:val="0068383E"/>
    <w:rsid w:val="00685160"/>
    <w:rsid w:val="00731856"/>
    <w:rsid w:val="007C5BC1"/>
    <w:rsid w:val="007F6FCF"/>
    <w:rsid w:val="0087403F"/>
    <w:rsid w:val="008B1C7D"/>
    <w:rsid w:val="009664D7"/>
    <w:rsid w:val="009B0526"/>
    <w:rsid w:val="009C361D"/>
    <w:rsid w:val="00A01144"/>
    <w:rsid w:val="00A27061"/>
    <w:rsid w:val="00B33D00"/>
    <w:rsid w:val="00B95915"/>
    <w:rsid w:val="00BA22A0"/>
    <w:rsid w:val="00BA637D"/>
    <w:rsid w:val="00C45DA2"/>
    <w:rsid w:val="00C47E0C"/>
    <w:rsid w:val="00C545A9"/>
    <w:rsid w:val="00C625E4"/>
    <w:rsid w:val="00CA39F6"/>
    <w:rsid w:val="00CC2978"/>
    <w:rsid w:val="00CE20AE"/>
    <w:rsid w:val="00D047ED"/>
    <w:rsid w:val="00D2190F"/>
    <w:rsid w:val="00D94310"/>
    <w:rsid w:val="00DA5D3E"/>
    <w:rsid w:val="00DE41D2"/>
    <w:rsid w:val="00E35922"/>
    <w:rsid w:val="00E534E9"/>
    <w:rsid w:val="00EA1852"/>
    <w:rsid w:val="00ED17B1"/>
    <w:rsid w:val="00EF02E0"/>
    <w:rsid w:val="00F02A39"/>
    <w:rsid w:val="00F21060"/>
    <w:rsid w:val="020B6301"/>
    <w:rsid w:val="05430177"/>
    <w:rsid w:val="12C540B6"/>
    <w:rsid w:val="1CBD4594"/>
    <w:rsid w:val="20D8271B"/>
    <w:rsid w:val="216E53F1"/>
    <w:rsid w:val="268A485A"/>
    <w:rsid w:val="29433BFC"/>
    <w:rsid w:val="2F413A43"/>
    <w:rsid w:val="2F93158E"/>
    <w:rsid w:val="30EF52E4"/>
    <w:rsid w:val="353A1F9C"/>
    <w:rsid w:val="3AD01476"/>
    <w:rsid w:val="3B4D2DA0"/>
    <w:rsid w:val="3CD369E8"/>
    <w:rsid w:val="420F1716"/>
    <w:rsid w:val="44F10426"/>
    <w:rsid w:val="4DA55C5E"/>
    <w:rsid w:val="4E736201"/>
    <w:rsid w:val="546504D3"/>
    <w:rsid w:val="54E83018"/>
    <w:rsid w:val="58AC6B04"/>
    <w:rsid w:val="60A541DE"/>
    <w:rsid w:val="61905655"/>
    <w:rsid w:val="68E765E9"/>
    <w:rsid w:val="6E401570"/>
    <w:rsid w:val="71E601D2"/>
    <w:rsid w:val="73B11A2F"/>
    <w:rsid w:val="755327B5"/>
    <w:rsid w:val="75DB71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qFormat/>
    <w:uiPriority w:val="0"/>
    <w:rPr>
      <w:rFonts w:ascii="宋体" w:eastAsia="宋体"/>
      <w:sz w:val="18"/>
      <w:szCs w:val="18"/>
    </w:rPr>
  </w:style>
  <w:style w:type="paragraph" w:styleId="3">
    <w:name w:val="Balloon Text"/>
    <w:basedOn w:val="1"/>
    <w:link w:val="13"/>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20"/>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style161"/>
    <w:basedOn w:val="6"/>
    <w:qFormat/>
    <w:uiPriority w:val="0"/>
    <w:rPr>
      <w:rFonts w:hint="eastAsia" w:ascii="宋体" w:hAnsi="宋体" w:eastAsia="宋体"/>
      <w:sz w:val="25"/>
      <w:szCs w:val="25"/>
    </w:rPr>
  </w:style>
  <w:style w:type="character" w:customStyle="1" w:styleId="11">
    <w:name w:val="文档结构图 Char"/>
    <w:basedOn w:val="6"/>
    <w:link w:val="2"/>
    <w:qFormat/>
    <w:uiPriority w:val="0"/>
    <w:rPr>
      <w:rFonts w:ascii="宋体" w:eastAsia="宋体"/>
      <w:kern w:val="2"/>
      <w:sz w:val="18"/>
      <w:szCs w:val="18"/>
    </w:rPr>
  </w:style>
  <w:style w:type="character" w:customStyle="1" w:styleId="12">
    <w:name w:val="页眉 Char"/>
    <w:basedOn w:val="6"/>
    <w:link w:val="5"/>
    <w:qFormat/>
    <w:uiPriority w:val="0"/>
    <w:rPr>
      <w:kern w:val="2"/>
      <w:sz w:val="18"/>
      <w:szCs w:val="18"/>
    </w:rPr>
  </w:style>
  <w:style w:type="character" w:customStyle="1" w:styleId="13">
    <w:name w:val="批注框文本 Char"/>
    <w:basedOn w:val="6"/>
    <w:link w:val="3"/>
    <w:qFormat/>
    <w:uiPriority w:val="0"/>
    <w:rPr>
      <w:kern w:val="2"/>
      <w:sz w:val="18"/>
      <w:szCs w:val="18"/>
    </w:rPr>
  </w:style>
  <w:style w:type="character" w:customStyle="1" w:styleId="14">
    <w:name w:val="页脚 Char"/>
    <w:basedOn w:val="6"/>
    <w:link w:val="4"/>
    <w:qFormat/>
    <w:uiPriority w:val="99"/>
    <w:rPr>
      <w:rFonts w:asciiTheme="minorHAnsi" w:hAnsiTheme="minorHAnsi" w:eastAsiaTheme="minorEastAsia" w:cstheme="minorBidi"/>
      <w:kern w:val="2"/>
      <w:sz w:val="18"/>
    </w:rPr>
  </w:style>
  <w:style w:type="character" w:customStyle="1" w:styleId="15">
    <w:name w:val="font21"/>
    <w:basedOn w:val="6"/>
    <w:qFormat/>
    <w:uiPriority w:val="0"/>
    <w:rPr>
      <w:rFonts w:hint="eastAsia" w:ascii="宋体" w:hAnsi="宋体" w:eastAsia="宋体" w:cs="宋体"/>
      <w:b/>
      <w:color w:val="000000"/>
      <w:sz w:val="32"/>
      <w:szCs w:val="32"/>
      <w:u w:val="none"/>
    </w:rPr>
  </w:style>
  <w:style w:type="character" w:customStyle="1" w:styleId="16">
    <w:name w:val="font01"/>
    <w:basedOn w:val="6"/>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630</Words>
  <Characters>3595</Characters>
  <Lines>29</Lines>
  <Paragraphs>8</Paragraphs>
  <TotalTime>0</TotalTime>
  <ScaleCrop>false</ScaleCrop>
  <LinksUpToDate>false</LinksUpToDate>
  <CharactersWithSpaces>4217</CharactersWithSpaces>
  <Application>WPS Office_10.1.0.5728_F1E327BC-269C-435d-A152-05C5408002CA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2018-04-11T10:51:00Z</dcterms:created>
  <dc:creator>jw-3112</dc:creator>
  <cp:lastModifiedBy>jwdw-3114-ltl</cp:lastModifiedBy>
  <cp:lastPrinted>2021-06-16T03:01:00Z</cp:lastPrinted>
  <dcterms:modified xsi:type="dcterms:W3CDTF">2021-06-16T08:31:56Z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2052-10.1.0.5728</vt:lpwstr>
  </property>
  <property fmtid="{D5CDD505-2E9C-101B-9397-08002B2CF9AE}" pid="3" name="ICV">
    <vt:lpwstr>C24B50BC406A4537823F14BDDC633465</vt:lpwstr>
  </property>
</Properties>
</file>